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290ED8" w:rsidRPr="00697868">
        <w:rPr>
          <w:rFonts w:asciiTheme="minorHAnsi" w:hAnsiTheme="minorHAnsi" w:cstheme="minorHAnsi"/>
          <w:b/>
          <w:sz w:val="48"/>
          <w:szCs w:val="48"/>
        </w:rPr>
        <w:t>1</w:t>
      </w:r>
      <w:r w:rsidR="00D6784A">
        <w:rPr>
          <w:rFonts w:asciiTheme="minorHAnsi" w:hAnsiTheme="minorHAnsi" w:cstheme="minorHAnsi"/>
          <w:b/>
          <w:sz w:val="48"/>
          <w:szCs w:val="48"/>
        </w:rPr>
        <w:t>3</w:t>
      </w:r>
      <w:r w:rsidR="002D460E">
        <w:rPr>
          <w:rFonts w:asciiTheme="minorHAnsi" w:hAnsiTheme="minorHAnsi" w:cstheme="minorHAnsi"/>
          <w:b/>
          <w:sz w:val="48"/>
          <w:szCs w:val="48"/>
        </w:rPr>
        <w:t>LG085</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240BBA">
        <w:rPr>
          <w:rFonts w:asciiTheme="minorHAnsi" w:hAnsiTheme="minorHAnsi" w:cstheme="minorHAnsi"/>
          <w:b/>
          <w:sz w:val="48"/>
          <w:szCs w:val="48"/>
        </w:rPr>
        <w:t>3</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BB02AF" w:rsidRPr="004E699C" w:rsidRDefault="00BB02AF" w:rsidP="00BB02AF">
      <w:pPr>
        <w:rPr>
          <w:rFonts w:asciiTheme="minorHAnsi" w:hAnsiTheme="minorHAnsi" w:cstheme="minorHAnsi"/>
          <w:b/>
          <w:sz w:val="72"/>
          <w:szCs w:val="72"/>
        </w:rPr>
      </w:pPr>
      <w:r>
        <w:rPr>
          <w:rFonts w:asciiTheme="minorHAnsi" w:hAnsiTheme="minorHAnsi" w:cstheme="minorHAnsi"/>
          <w:b/>
          <w:sz w:val="72"/>
          <w:szCs w:val="72"/>
        </w:rPr>
        <w:t>Interior Compact Fluorescent Fixture</w:t>
      </w:r>
    </w:p>
    <w:p w:rsidR="00EB34FC" w:rsidRPr="00697868" w:rsidRDefault="00EB34FC" w:rsidP="00EB34FC">
      <w:pPr>
        <w:rPr>
          <w:rFonts w:asciiTheme="minorHAnsi" w:hAnsiTheme="minorHAnsi" w:cstheme="minorHAnsi"/>
          <w:sz w:val="22"/>
          <w:szCs w:val="22"/>
        </w:rPr>
      </w:pPr>
    </w:p>
    <w:p w:rsidR="00EB34FC" w:rsidRPr="00697868" w:rsidRDefault="00EB34FC" w:rsidP="00DA690B">
      <w:pPr>
        <w:rPr>
          <w:rFonts w:asciiTheme="minorHAnsi" w:hAnsiTheme="minorHAnsi" w:cstheme="minorHAnsi"/>
          <w:sz w:val="22"/>
          <w:szCs w:val="22"/>
        </w:rPr>
        <w:sectPr w:rsidR="00EB34FC" w:rsidRPr="00697868">
          <w:footerReference w:type="default" r:id="rId9"/>
          <w:endnotePr>
            <w:numFmt w:val="upperLetter"/>
          </w:endnotePr>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AC5309" w:rsidRPr="00697868" w:rsidRDefault="00D33AA6" w:rsidP="00770CBB">
            <w:pPr>
              <w:rPr>
                <w:rFonts w:asciiTheme="minorHAnsi" w:hAnsiTheme="minorHAnsi" w:cs="Arial"/>
                <w:b w:val="0"/>
                <w:bCs w:val="0"/>
                <w:sz w:val="20"/>
                <w:szCs w:val="20"/>
              </w:rPr>
            </w:pPr>
            <w:r>
              <w:rPr>
                <w:rFonts w:asciiTheme="minorHAnsi" w:hAnsiTheme="minorHAnsi" w:cs="Arial"/>
                <w:i/>
                <w:sz w:val="20"/>
                <w:szCs w:val="20"/>
              </w:rPr>
              <w:t>LT-17083, LT-83701, LT-33489, LT-26133, LT-84901, LT-39256, LT-79504, LT-93432, LT-19423, LT-60765, LT-68432, LT-40994, LT-80989, L</w:t>
            </w:r>
            <w:r w:rsidR="00A04170">
              <w:rPr>
                <w:rFonts w:asciiTheme="minorHAnsi" w:hAnsiTheme="minorHAnsi" w:cs="Arial"/>
                <w:i/>
                <w:sz w:val="20"/>
                <w:szCs w:val="20"/>
              </w:rPr>
              <w:t>T-89854, LT-97876, LT-24867, LT-39075, LT-73649, LT-81657, LT-59687, LT-23209, LT-45765, LT-59876, LT-79523, LT-87943, LT-35476, LT-49660, LT-62735, LT-49593, LT-50587, LT-67654, LT-78765, LT-85876, LT-90987, LT-19143, LT-27559, LT-34841, LT-</w:t>
            </w:r>
            <w:r w:rsidR="00770CBB">
              <w:rPr>
                <w:rFonts w:asciiTheme="minorHAnsi" w:hAnsiTheme="minorHAnsi" w:cs="Arial"/>
                <w:i/>
                <w:sz w:val="20"/>
                <w:szCs w:val="20"/>
              </w:rPr>
              <w:t>72843</w:t>
            </w:r>
            <w:r w:rsidR="00A04170">
              <w:rPr>
                <w:rFonts w:asciiTheme="minorHAnsi" w:hAnsiTheme="minorHAnsi" w:cs="Arial"/>
                <w:i/>
                <w:sz w:val="20"/>
                <w:szCs w:val="20"/>
              </w:rPr>
              <w:t>, LT-38978, LT-45343, LT-56473, LT-65832, LT-78567, LT-87453, and LT-90776.</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A04170" w:rsidP="009824E9">
            <w:pPr>
              <w:rPr>
                <w:rFonts w:asciiTheme="minorHAnsi" w:hAnsiTheme="minorHAnsi" w:cs="Arial"/>
                <w:sz w:val="20"/>
                <w:szCs w:val="20"/>
              </w:rPr>
            </w:pPr>
            <w:r>
              <w:rPr>
                <w:rFonts w:asciiTheme="minorHAnsi" w:hAnsiTheme="minorHAnsi" w:cs="Arial"/>
                <w:sz w:val="20"/>
                <w:szCs w:val="20"/>
              </w:rPr>
              <w:t xml:space="preserve">Replacement of </w:t>
            </w:r>
            <w:r w:rsidR="00C92974">
              <w:rPr>
                <w:rFonts w:asciiTheme="minorHAnsi" w:hAnsiTheme="minorHAnsi" w:cs="Arial"/>
                <w:sz w:val="20"/>
                <w:szCs w:val="20"/>
              </w:rPr>
              <w:t xml:space="preserve">various </w:t>
            </w:r>
            <w:r>
              <w:rPr>
                <w:rFonts w:asciiTheme="minorHAnsi" w:hAnsiTheme="minorHAnsi" w:cs="Arial"/>
                <w:sz w:val="20"/>
                <w:szCs w:val="20"/>
              </w:rPr>
              <w:t>low efficacy fixtures</w:t>
            </w:r>
            <w:r w:rsidR="00C92974">
              <w:rPr>
                <w:rFonts w:asciiTheme="minorHAnsi" w:hAnsiTheme="minorHAnsi" w:cs="Arial"/>
                <w:sz w:val="20"/>
                <w:szCs w:val="20"/>
              </w:rPr>
              <w:t xml:space="preserve"> </w:t>
            </w:r>
            <w:r w:rsidR="00C92974" w:rsidRPr="00C92974">
              <w:rPr>
                <w:rFonts w:asciiTheme="minorHAnsi" w:hAnsiTheme="minorHAnsi" w:cs="Arial"/>
                <w:sz w:val="20"/>
                <w:szCs w:val="20"/>
              </w:rPr>
              <w:t xml:space="preserve">(i.e. &lt;100 Watt lamp base) </w:t>
            </w:r>
            <w:r>
              <w:rPr>
                <w:rFonts w:asciiTheme="minorHAnsi" w:hAnsiTheme="minorHAnsi" w:cs="Arial"/>
                <w:sz w:val="20"/>
                <w:szCs w:val="20"/>
              </w:rPr>
              <w:t>with compact fluorescent fixtures</w:t>
            </w:r>
            <w:r w:rsidR="00C92974">
              <w:rPr>
                <w:rFonts w:asciiTheme="minorHAnsi" w:hAnsiTheme="minorHAnsi" w:cs="Arial"/>
                <w:sz w:val="20"/>
                <w:szCs w:val="20"/>
              </w:rPr>
              <w:t xml:space="preserve"> </w:t>
            </w:r>
            <w:r w:rsidR="00C92974" w:rsidRPr="004C7955">
              <w:rPr>
                <w:rFonts w:ascii="Calibri" w:hAnsi="Calibri" w:cs="Calibri"/>
                <w:sz w:val="20"/>
              </w:rPr>
              <w:t>(i.e</w:t>
            </w:r>
            <w:r w:rsidR="00C92974">
              <w:rPr>
                <w:rFonts w:ascii="Calibri" w:hAnsi="Calibri" w:cs="Calibri"/>
                <w:sz w:val="20"/>
              </w:rPr>
              <w:t>. 70 Watt Interior Fixture CFL)</w:t>
            </w:r>
            <w:r w:rsidR="00C92974">
              <w:rPr>
                <w:rFonts w:asciiTheme="minorHAnsi" w:hAnsiTheme="minorHAnsi" w:cs="Arial"/>
                <w:sz w:val="20"/>
                <w:szCs w:val="20"/>
              </w:rPr>
              <w:t xml:space="preserve"> in various target sectors.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D10BD6" w:rsidP="00D10BD6">
            <w:pPr>
              <w:rPr>
                <w:rFonts w:asciiTheme="minorHAnsi" w:hAnsiTheme="minorHAnsi" w:cs="Arial"/>
                <w:sz w:val="20"/>
                <w:szCs w:val="20"/>
              </w:rPr>
            </w:pPr>
            <w:r w:rsidRPr="00D10BD6">
              <w:rPr>
                <w:rFonts w:asciiTheme="minorHAnsi" w:hAnsiTheme="minorHAnsi" w:cs="Arial"/>
                <w:sz w:val="20"/>
                <w:szCs w:val="20"/>
              </w:rPr>
              <w:t xml:space="preserve">The specific measures containing wattage ranges (i.e., &lt;100 Watt lamp base case) are assumed to have a metal halide base case while all other measures for multi-family housing (Common and Dwelling area) are assumed to have an incandescent base case. </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984951">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D10BD6" w:rsidP="00984951">
            <w:pPr>
              <w:rPr>
                <w:rFonts w:asciiTheme="minorHAnsi" w:hAnsiTheme="minorHAnsi" w:cs="Arial"/>
                <w:sz w:val="20"/>
                <w:szCs w:val="20"/>
              </w:rPr>
            </w:pPr>
            <w:r>
              <w:rPr>
                <w:rFonts w:asciiTheme="minorHAnsi" w:hAnsiTheme="minorHAnsi" w:cs="Arial"/>
                <w:sz w:val="20"/>
                <w:szCs w:val="20"/>
              </w:rPr>
              <w:t>Per Fixture</w:t>
            </w:r>
            <w:r w:rsidR="00D36798" w:rsidRPr="00697868">
              <w:rPr>
                <w:rFonts w:asciiTheme="minorHAnsi" w:hAnsiTheme="minorHAnsi" w:cs="Arial"/>
                <w:sz w:val="20"/>
                <w:szCs w:val="20"/>
              </w:rPr>
              <w:t xml:space="preserve"> </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D10BD6" w:rsidP="00AC5309">
            <w:pPr>
              <w:rPr>
                <w:rFonts w:asciiTheme="minorHAnsi" w:hAnsiTheme="minorHAnsi" w:cs="Arial"/>
                <w:sz w:val="20"/>
                <w:szCs w:val="20"/>
              </w:rPr>
            </w:pPr>
            <w:r>
              <w:rPr>
                <w:rFonts w:asciiTheme="minorHAnsi" w:hAnsiTheme="minorHAnsi" w:cs="Arial"/>
                <w:sz w:val="20"/>
                <w:szCs w:val="20"/>
              </w:rPr>
              <w:t xml:space="preserve">EUL of 12 years for Non-Residential measures and EUL of </w:t>
            </w:r>
            <w:r w:rsidR="009F536C">
              <w:rPr>
                <w:rFonts w:asciiTheme="minorHAnsi" w:hAnsiTheme="minorHAnsi" w:cs="Arial"/>
                <w:sz w:val="20"/>
                <w:szCs w:val="20"/>
              </w:rPr>
              <w:t>16 years for residential measures.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9F536C" w:rsidP="00EB2E9F">
            <w:pPr>
              <w:rPr>
                <w:rFonts w:asciiTheme="minorHAnsi" w:hAnsiTheme="minorHAnsi" w:cs="Arial"/>
                <w:sz w:val="20"/>
                <w:szCs w:val="20"/>
              </w:rPr>
            </w:pPr>
            <w:r>
              <w:rPr>
                <w:rFonts w:asciiTheme="minorHAnsi" w:hAnsiTheme="minorHAnsi" w:cs="Arial"/>
                <w:sz w:val="20"/>
                <w:szCs w:val="20"/>
              </w:rPr>
              <w:t>Early Retirement (</w:t>
            </w:r>
            <w:r w:rsidR="00EB2E9F">
              <w:rPr>
                <w:rFonts w:asciiTheme="minorHAnsi" w:hAnsiTheme="minorHAnsi" w:cs="Arial"/>
                <w:sz w:val="20"/>
                <w:szCs w:val="20"/>
              </w:rPr>
              <w:t>RET</w:t>
            </w:r>
            <w:r>
              <w:rPr>
                <w:rFonts w:asciiTheme="minorHAnsi" w:hAnsiTheme="minorHAnsi" w:cs="Arial"/>
                <w:sz w:val="20"/>
                <w:szCs w:val="20"/>
              </w:rPr>
              <w:t xml:space="preserve">) and </w:t>
            </w:r>
            <w:r w:rsidR="00290ED8" w:rsidRPr="00697868">
              <w:rPr>
                <w:rFonts w:asciiTheme="minorHAnsi" w:hAnsiTheme="minorHAnsi" w:cs="Arial"/>
                <w:sz w:val="20"/>
                <w:szCs w:val="20"/>
              </w:rPr>
              <w:t xml:space="preserve">Replace on Burnout (ROB) </w:t>
            </w:r>
          </w:p>
        </w:tc>
      </w:tr>
      <w:tr w:rsidR="00770CBB"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770CBB" w:rsidRPr="00697868" w:rsidRDefault="00770CBB"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770CBB" w:rsidRPr="00697868" w:rsidRDefault="00770CBB" w:rsidP="00770CBB">
            <w:pPr>
              <w:rPr>
                <w:rFonts w:asciiTheme="minorHAnsi" w:hAnsiTheme="minorHAnsi" w:cs="Arial"/>
                <w:sz w:val="20"/>
                <w:szCs w:val="20"/>
              </w:rPr>
            </w:pPr>
            <w:r>
              <w:rPr>
                <w:rFonts w:asciiTheme="minorHAnsi" w:hAnsiTheme="minorHAnsi" w:cs="Arial"/>
                <w:sz w:val="20"/>
                <w:szCs w:val="20"/>
              </w:rPr>
              <w:t>Downstream Com 0.53, Ag/</w:t>
            </w:r>
            <w:proofErr w:type="spellStart"/>
            <w:r>
              <w:rPr>
                <w:rFonts w:asciiTheme="minorHAnsi" w:hAnsiTheme="minorHAnsi" w:cs="Arial"/>
                <w:sz w:val="20"/>
                <w:szCs w:val="20"/>
              </w:rPr>
              <w:t>Ind</w:t>
            </w:r>
            <w:proofErr w:type="spellEnd"/>
            <w:r>
              <w:rPr>
                <w:rFonts w:asciiTheme="minorHAnsi" w:hAnsiTheme="minorHAnsi" w:cs="Arial"/>
                <w:sz w:val="20"/>
                <w:szCs w:val="20"/>
              </w:rPr>
              <w:t xml:space="preserve"> 0.6, Res 0.55, Midstream Com/Ag/</w:t>
            </w:r>
            <w:proofErr w:type="spellStart"/>
            <w:r>
              <w:rPr>
                <w:rFonts w:asciiTheme="minorHAnsi" w:hAnsiTheme="minorHAnsi" w:cs="Arial"/>
                <w:sz w:val="20"/>
                <w:szCs w:val="20"/>
              </w:rPr>
              <w:t>Ind</w:t>
            </w:r>
            <w:proofErr w:type="spellEnd"/>
            <w:r>
              <w:rPr>
                <w:rFonts w:asciiTheme="minorHAnsi" w:hAnsiTheme="minorHAnsi" w:cs="Arial"/>
                <w:sz w:val="20"/>
                <w:szCs w:val="20"/>
              </w:rPr>
              <w:t xml:space="preserve"> 0.6, Res 0.55, </w:t>
            </w:r>
            <w:proofErr w:type="spellStart"/>
            <w:r>
              <w:rPr>
                <w:rFonts w:asciiTheme="minorHAnsi" w:hAnsiTheme="minorHAnsi" w:cs="Arial"/>
                <w:sz w:val="20"/>
                <w:szCs w:val="20"/>
              </w:rPr>
              <w:t>DirectInstall</w:t>
            </w:r>
            <w:proofErr w:type="spellEnd"/>
            <w:r>
              <w:rPr>
                <w:rFonts w:asciiTheme="minorHAnsi" w:hAnsiTheme="minorHAnsi" w:cs="Arial"/>
                <w:sz w:val="20"/>
                <w:szCs w:val="20"/>
              </w:rPr>
              <w:t xml:space="preserve"> Com 0.8, Ag/</w:t>
            </w:r>
            <w:proofErr w:type="spellStart"/>
            <w:r>
              <w:rPr>
                <w:rFonts w:asciiTheme="minorHAnsi" w:hAnsiTheme="minorHAnsi" w:cs="Arial"/>
                <w:sz w:val="20"/>
                <w:szCs w:val="20"/>
              </w:rPr>
              <w:t>Ind</w:t>
            </w:r>
            <w:proofErr w:type="spellEnd"/>
            <w:r>
              <w:rPr>
                <w:rFonts w:asciiTheme="minorHAnsi" w:hAnsiTheme="minorHAnsi" w:cs="Arial"/>
                <w:sz w:val="20"/>
                <w:szCs w:val="20"/>
              </w:rPr>
              <w:t>/Res 0.85</w:t>
            </w:r>
          </w:p>
        </w:tc>
      </w:tr>
      <w:tr w:rsidR="00770CBB"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770CBB" w:rsidRPr="00697868" w:rsidRDefault="00770CBB"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770CBB" w:rsidRPr="00697868" w:rsidRDefault="00770CBB" w:rsidP="0000328C">
            <w:pPr>
              <w:rPr>
                <w:rFonts w:asciiTheme="minorHAnsi" w:hAnsiTheme="minorHAnsi" w:cs="Arial"/>
                <w:sz w:val="20"/>
                <w:szCs w:val="20"/>
              </w:rPr>
            </w:pPr>
            <w:r>
              <w:rPr>
                <w:rFonts w:asciiTheme="minorHAnsi" w:hAnsiTheme="minorHAnsi" w:cs="Arial"/>
                <w:sz w:val="20"/>
                <w:szCs w:val="20"/>
              </w:rPr>
              <w:t>This workpaper document does not contain a data set in conformance with the 4/1/14 CPUC Ex Ante Database Specification; SCE will provide that data set separately.</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38" w:type="pct"/>
        <w:tblLayout w:type="fixed"/>
        <w:tblLook w:val="01E0" w:firstRow="1" w:lastRow="1" w:firstColumn="1" w:lastColumn="1" w:noHBand="0" w:noVBand="0"/>
      </w:tblPr>
      <w:tblGrid>
        <w:gridCol w:w="1459"/>
        <w:gridCol w:w="990"/>
        <w:gridCol w:w="1260"/>
        <w:gridCol w:w="1801"/>
        <w:gridCol w:w="4139"/>
      </w:tblGrid>
      <w:tr w:rsidR="00413CDB" w:rsidRPr="00CE28CF" w:rsidTr="00770CBB">
        <w:trPr>
          <w:cnfStyle w:val="100000000000" w:firstRow="1" w:lastRow="0" w:firstColumn="0" w:lastColumn="0" w:oddVBand="0" w:evenVBand="0" w:oddHBand="0" w:evenHBand="0" w:firstRowFirstColumn="0" w:firstRowLastColumn="0" w:lastRowFirstColumn="0" w:lastRowLastColumn="0"/>
          <w:trHeight w:val="298"/>
        </w:trPr>
        <w:tc>
          <w:tcPr>
            <w:tcW w:w="756"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3"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3"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33"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46"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240BBA" w:rsidRPr="00697868" w:rsidTr="00770CBB">
        <w:trPr>
          <w:cnfStyle w:val="000000100000" w:firstRow="0" w:lastRow="0" w:firstColumn="0" w:lastColumn="0" w:oddVBand="0" w:evenVBand="0" w:oddHBand="1" w:evenHBand="0" w:firstRowFirstColumn="0" w:firstRowLastColumn="0" w:lastRowFirstColumn="0" w:lastRowLastColumn="0"/>
          <w:trHeight w:val="325"/>
        </w:trPr>
        <w:tc>
          <w:tcPr>
            <w:tcW w:w="756" w:type="pct"/>
          </w:tcPr>
          <w:p w:rsidR="00240BBA" w:rsidRDefault="00240BBA" w:rsidP="005903EE">
            <w:pPr>
              <w:rPr>
                <w:rFonts w:asciiTheme="minorHAnsi" w:hAnsiTheme="minorHAnsi" w:cstheme="minorHAnsi"/>
                <w:sz w:val="20"/>
                <w:szCs w:val="20"/>
              </w:rPr>
            </w:pPr>
            <w:r>
              <w:rPr>
                <w:rFonts w:asciiTheme="minorHAnsi" w:hAnsiTheme="minorHAnsi" w:cstheme="minorHAnsi"/>
                <w:sz w:val="20"/>
                <w:szCs w:val="20"/>
              </w:rPr>
              <w:t>SCE13LG085.0</w:t>
            </w:r>
          </w:p>
        </w:tc>
        <w:tc>
          <w:tcPr>
            <w:tcW w:w="513" w:type="pct"/>
          </w:tcPr>
          <w:p w:rsidR="00240BBA" w:rsidRDefault="00240BBA"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3" w:type="pct"/>
          </w:tcPr>
          <w:p w:rsidR="00240BBA" w:rsidRPr="004E699C" w:rsidRDefault="00240BBA" w:rsidP="00240BBA">
            <w:pPr>
              <w:jc w:val="center"/>
              <w:rPr>
                <w:rFonts w:ascii="Calibri" w:hAnsi="Calibri" w:cs="Calibri"/>
                <w:sz w:val="20"/>
                <w:szCs w:val="20"/>
              </w:rPr>
            </w:pPr>
            <w:r>
              <w:rPr>
                <w:rFonts w:ascii="Calibri" w:hAnsi="Calibri" w:cs="Calibri"/>
                <w:sz w:val="20"/>
                <w:szCs w:val="20"/>
              </w:rPr>
              <w:t>04/09/</w:t>
            </w:r>
            <w:r w:rsidRPr="004E699C">
              <w:rPr>
                <w:rFonts w:ascii="Calibri" w:hAnsi="Calibri" w:cs="Calibri"/>
                <w:sz w:val="20"/>
                <w:szCs w:val="20"/>
              </w:rPr>
              <w:t>12</w:t>
            </w:r>
          </w:p>
        </w:tc>
        <w:tc>
          <w:tcPr>
            <w:tcW w:w="933" w:type="pct"/>
          </w:tcPr>
          <w:p w:rsidR="00240BBA" w:rsidRDefault="00240BBA" w:rsidP="002163E5">
            <w:pPr>
              <w:rPr>
                <w:rFonts w:ascii="Calibri" w:hAnsi="Calibri" w:cs="Calibri"/>
                <w:sz w:val="20"/>
                <w:szCs w:val="20"/>
              </w:rPr>
            </w:pPr>
            <w:r w:rsidRPr="004E699C">
              <w:rPr>
                <w:rFonts w:ascii="Calibri" w:hAnsi="Calibri" w:cs="Calibri"/>
                <w:sz w:val="20"/>
                <w:szCs w:val="20"/>
              </w:rPr>
              <w:t xml:space="preserve">Kristine </w:t>
            </w:r>
            <w:proofErr w:type="spellStart"/>
            <w:r w:rsidRPr="004E699C">
              <w:rPr>
                <w:rFonts w:ascii="Calibri" w:hAnsi="Calibri" w:cs="Calibri"/>
                <w:sz w:val="20"/>
                <w:szCs w:val="20"/>
              </w:rPr>
              <w:t>Falletta</w:t>
            </w:r>
            <w:proofErr w:type="spellEnd"/>
            <w:r w:rsidRPr="004E699C">
              <w:rPr>
                <w:rFonts w:ascii="Calibri" w:hAnsi="Calibri" w:cs="Calibri"/>
                <w:sz w:val="20"/>
                <w:szCs w:val="20"/>
              </w:rPr>
              <w:t>/PECI</w:t>
            </w:r>
          </w:p>
          <w:p w:rsidR="00240BBA" w:rsidRPr="004E699C" w:rsidRDefault="00240BBA" w:rsidP="002163E5">
            <w:pPr>
              <w:rPr>
                <w:rFonts w:ascii="Calibri" w:hAnsi="Calibri" w:cs="Calibri"/>
                <w:sz w:val="20"/>
                <w:szCs w:val="20"/>
              </w:rPr>
            </w:pPr>
            <w:r w:rsidRPr="008B44A4">
              <w:rPr>
                <w:rFonts w:ascii="Calibri" w:hAnsi="Calibri" w:cs="Calibri"/>
                <w:sz w:val="20"/>
                <w:szCs w:val="20"/>
              </w:rPr>
              <w:t>Brian V. O’Keefe/SCE</w:t>
            </w:r>
          </w:p>
        </w:tc>
        <w:tc>
          <w:tcPr>
            <w:tcW w:w="2146" w:type="pct"/>
          </w:tcPr>
          <w:p w:rsidR="00240BBA" w:rsidRDefault="00240BBA" w:rsidP="002163E5">
            <w:pPr>
              <w:rPr>
                <w:rFonts w:ascii="Calibri" w:hAnsi="Calibri" w:cs="Calibri"/>
                <w:bCs/>
                <w:sz w:val="20"/>
                <w:szCs w:val="20"/>
              </w:rPr>
            </w:pPr>
            <w:r w:rsidRPr="004E699C">
              <w:rPr>
                <w:rFonts w:ascii="Calibri" w:hAnsi="Calibri" w:cs="Calibri"/>
                <w:bCs/>
                <w:sz w:val="20"/>
                <w:szCs w:val="20"/>
              </w:rPr>
              <w:t>Original work paper template for 2013 PC</w:t>
            </w:r>
          </w:p>
          <w:p w:rsidR="00240BBA" w:rsidRPr="008B44A4" w:rsidRDefault="00240BBA" w:rsidP="002163E5">
            <w:pPr>
              <w:rPr>
                <w:rFonts w:ascii="Calibri" w:hAnsi="Calibri" w:cs="Calibri"/>
                <w:bCs/>
                <w:sz w:val="20"/>
                <w:szCs w:val="20"/>
              </w:rPr>
            </w:pPr>
            <w:r w:rsidRPr="008B44A4">
              <w:rPr>
                <w:rFonts w:ascii="Calibri" w:hAnsi="Calibri" w:cs="Calibri"/>
                <w:bCs/>
                <w:sz w:val="20"/>
                <w:szCs w:val="20"/>
              </w:rPr>
              <w:t>Updates from original draft:</w:t>
            </w:r>
          </w:p>
          <w:p w:rsidR="00240BBA" w:rsidRPr="008B44A4" w:rsidRDefault="00240BBA" w:rsidP="002163E5">
            <w:pPr>
              <w:rPr>
                <w:rFonts w:ascii="Calibri" w:hAnsi="Calibri" w:cs="Calibri"/>
                <w:bCs/>
                <w:sz w:val="20"/>
                <w:szCs w:val="20"/>
              </w:rPr>
            </w:pPr>
            <w:r w:rsidRPr="008B44A4">
              <w:rPr>
                <w:rFonts w:ascii="Calibri" w:hAnsi="Calibri" w:cs="Calibri"/>
                <w:bCs/>
                <w:sz w:val="20"/>
                <w:szCs w:val="20"/>
              </w:rPr>
              <w:t xml:space="preserve">     - Extracted measures directly from </w:t>
            </w:r>
            <w:proofErr w:type="spellStart"/>
            <w:r w:rsidRPr="008B44A4">
              <w:rPr>
                <w:rFonts w:ascii="Calibri" w:hAnsi="Calibri" w:cs="Calibri"/>
                <w:bCs/>
                <w:sz w:val="20"/>
                <w:szCs w:val="20"/>
              </w:rPr>
              <w:t>READi</w:t>
            </w:r>
            <w:proofErr w:type="spellEnd"/>
            <w:r w:rsidRPr="008B44A4">
              <w:rPr>
                <w:rFonts w:ascii="Calibri" w:hAnsi="Calibri" w:cs="Calibri"/>
                <w:bCs/>
                <w:sz w:val="20"/>
                <w:szCs w:val="20"/>
              </w:rPr>
              <w:t xml:space="preserve"> Tool for the dwelling areas</w:t>
            </w:r>
          </w:p>
          <w:p w:rsidR="00240BBA" w:rsidRPr="008B44A4" w:rsidRDefault="00240BBA" w:rsidP="002163E5">
            <w:pPr>
              <w:rPr>
                <w:rFonts w:ascii="Calibri" w:hAnsi="Calibri" w:cs="Calibri"/>
                <w:bCs/>
                <w:sz w:val="20"/>
                <w:szCs w:val="20"/>
              </w:rPr>
            </w:pPr>
            <w:r w:rsidRPr="008B44A4">
              <w:rPr>
                <w:rFonts w:ascii="Calibri" w:hAnsi="Calibri" w:cs="Calibri"/>
                <w:bCs/>
                <w:sz w:val="20"/>
                <w:szCs w:val="20"/>
              </w:rPr>
              <w:t xml:space="preserve">     - Updated to the newest calculation template, version 2.2</w:t>
            </w:r>
          </w:p>
          <w:p w:rsidR="00240BBA" w:rsidRPr="004E699C" w:rsidRDefault="00240BBA" w:rsidP="002163E5">
            <w:pPr>
              <w:rPr>
                <w:rFonts w:ascii="Calibri" w:hAnsi="Calibri" w:cs="Calibri"/>
                <w:sz w:val="20"/>
                <w:szCs w:val="20"/>
              </w:rPr>
            </w:pPr>
            <w:r w:rsidRPr="008B44A4">
              <w:rPr>
                <w:rFonts w:ascii="Calibri" w:hAnsi="Calibri" w:cs="Calibri"/>
                <w:bCs/>
                <w:sz w:val="20"/>
                <w:szCs w:val="20"/>
              </w:rPr>
              <w:t xml:space="preserve">     -  Updated measure names to reflect new WRR values</w:t>
            </w:r>
          </w:p>
        </w:tc>
      </w:tr>
      <w:tr w:rsidR="00240BBA" w:rsidRPr="00697868" w:rsidTr="00770CBB">
        <w:trPr>
          <w:cnfStyle w:val="000000010000" w:firstRow="0" w:lastRow="0" w:firstColumn="0" w:lastColumn="0" w:oddVBand="0" w:evenVBand="0" w:oddHBand="0" w:evenHBand="1" w:firstRowFirstColumn="0" w:firstRowLastColumn="0" w:lastRowFirstColumn="0" w:lastRowLastColumn="0"/>
          <w:trHeight w:val="325"/>
        </w:trPr>
        <w:tc>
          <w:tcPr>
            <w:tcW w:w="756" w:type="pct"/>
          </w:tcPr>
          <w:p w:rsidR="00240BBA" w:rsidRDefault="00240BBA" w:rsidP="005903EE">
            <w:pPr>
              <w:rPr>
                <w:rFonts w:asciiTheme="minorHAnsi" w:hAnsiTheme="minorHAnsi" w:cstheme="minorHAnsi"/>
                <w:sz w:val="20"/>
                <w:szCs w:val="20"/>
              </w:rPr>
            </w:pPr>
            <w:r>
              <w:rPr>
                <w:rFonts w:asciiTheme="minorHAnsi" w:hAnsiTheme="minorHAnsi" w:cstheme="minorHAnsi"/>
                <w:sz w:val="20"/>
                <w:szCs w:val="20"/>
              </w:rPr>
              <w:t>SCE13LG085.1</w:t>
            </w:r>
          </w:p>
        </w:tc>
        <w:tc>
          <w:tcPr>
            <w:tcW w:w="513" w:type="pct"/>
          </w:tcPr>
          <w:p w:rsidR="00240BBA" w:rsidRDefault="00240BBA"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3" w:type="pct"/>
          </w:tcPr>
          <w:p w:rsidR="00240BBA" w:rsidRDefault="00240BBA" w:rsidP="002163E5">
            <w:pPr>
              <w:jc w:val="center"/>
              <w:rPr>
                <w:rFonts w:asciiTheme="minorHAnsi" w:hAnsiTheme="minorHAnsi" w:cstheme="minorHAnsi"/>
                <w:sz w:val="20"/>
                <w:szCs w:val="20"/>
              </w:rPr>
            </w:pPr>
            <w:r>
              <w:rPr>
                <w:rFonts w:asciiTheme="minorHAnsi" w:hAnsiTheme="minorHAnsi" w:cstheme="minorHAnsi"/>
                <w:sz w:val="20"/>
                <w:szCs w:val="20"/>
              </w:rPr>
              <w:t>07/30/13</w:t>
            </w:r>
          </w:p>
        </w:tc>
        <w:tc>
          <w:tcPr>
            <w:tcW w:w="933" w:type="pct"/>
          </w:tcPr>
          <w:p w:rsidR="00240BBA" w:rsidRDefault="00240BBA" w:rsidP="002163E5">
            <w:pPr>
              <w:rPr>
                <w:rFonts w:asciiTheme="minorHAnsi" w:hAnsiTheme="minorHAnsi" w:cstheme="minorHAnsi"/>
                <w:sz w:val="20"/>
                <w:szCs w:val="20"/>
              </w:rPr>
            </w:pPr>
            <w:r>
              <w:rPr>
                <w:rFonts w:asciiTheme="minorHAnsi" w:hAnsiTheme="minorHAnsi" w:cstheme="minorHAnsi"/>
                <w:sz w:val="20"/>
                <w:szCs w:val="20"/>
              </w:rPr>
              <w:t>Yun Han/SCE</w:t>
            </w:r>
          </w:p>
        </w:tc>
        <w:tc>
          <w:tcPr>
            <w:tcW w:w="2146" w:type="pct"/>
          </w:tcPr>
          <w:p w:rsidR="00240BBA" w:rsidRDefault="00240BBA" w:rsidP="00240BBA">
            <w:pPr>
              <w:pStyle w:val="ListParagraph"/>
              <w:numPr>
                <w:ilvl w:val="0"/>
                <w:numId w:val="12"/>
              </w:numPr>
              <w:rPr>
                <w:rFonts w:asciiTheme="minorHAnsi" w:hAnsiTheme="minorHAnsi" w:cstheme="minorHAnsi"/>
                <w:bCs/>
                <w:sz w:val="20"/>
                <w:szCs w:val="20"/>
              </w:rPr>
            </w:pPr>
            <w:r w:rsidRPr="00086DCF">
              <w:rPr>
                <w:rFonts w:asciiTheme="minorHAnsi" w:hAnsiTheme="minorHAnsi" w:cstheme="minorHAnsi"/>
                <w:bCs/>
                <w:sz w:val="20"/>
                <w:szCs w:val="20"/>
              </w:rPr>
              <w:t>Updated range measures to lowest value based on ED’s disposition</w:t>
            </w:r>
          </w:p>
          <w:p w:rsidR="00240BBA" w:rsidRDefault="00240BBA" w:rsidP="00240BBA">
            <w:pPr>
              <w:pStyle w:val="ListParagraph"/>
              <w:numPr>
                <w:ilvl w:val="0"/>
                <w:numId w:val="12"/>
              </w:numPr>
              <w:rPr>
                <w:rFonts w:asciiTheme="minorHAnsi" w:hAnsiTheme="minorHAnsi" w:cstheme="minorHAnsi"/>
                <w:bCs/>
                <w:sz w:val="20"/>
                <w:szCs w:val="20"/>
              </w:rPr>
            </w:pPr>
            <w:r>
              <w:rPr>
                <w:rFonts w:asciiTheme="minorHAnsi" w:hAnsiTheme="minorHAnsi" w:cstheme="minorHAnsi"/>
                <w:bCs/>
                <w:sz w:val="20"/>
                <w:szCs w:val="20"/>
              </w:rPr>
              <w:t>T24 code language updated to 2013</w:t>
            </w:r>
          </w:p>
          <w:p w:rsidR="00240BBA" w:rsidRDefault="00240BBA" w:rsidP="00240BBA">
            <w:pPr>
              <w:pStyle w:val="ListParagraph"/>
              <w:numPr>
                <w:ilvl w:val="0"/>
                <w:numId w:val="12"/>
              </w:numPr>
              <w:rPr>
                <w:rFonts w:asciiTheme="minorHAnsi" w:hAnsiTheme="minorHAnsi" w:cstheme="minorHAnsi"/>
                <w:bCs/>
                <w:sz w:val="20"/>
                <w:szCs w:val="20"/>
              </w:rPr>
            </w:pPr>
            <w:r>
              <w:rPr>
                <w:rFonts w:asciiTheme="minorHAnsi" w:hAnsiTheme="minorHAnsi" w:cstheme="minorHAnsi"/>
                <w:bCs/>
                <w:sz w:val="20"/>
                <w:szCs w:val="20"/>
              </w:rPr>
              <w:t>Delivery &amp; Incentive Mechanism language corrected</w:t>
            </w:r>
          </w:p>
          <w:p w:rsidR="00240BBA" w:rsidRPr="00086DCF" w:rsidRDefault="00240BBA" w:rsidP="00240BBA">
            <w:pPr>
              <w:pStyle w:val="ListParagraph"/>
              <w:numPr>
                <w:ilvl w:val="0"/>
                <w:numId w:val="12"/>
              </w:numPr>
              <w:rPr>
                <w:rFonts w:asciiTheme="minorHAnsi" w:hAnsiTheme="minorHAnsi" w:cstheme="minorHAnsi"/>
                <w:bCs/>
                <w:sz w:val="20"/>
                <w:szCs w:val="20"/>
              </w:rPr>
            </w:pPr>
            <w:r>
              <w:rPr>
                <w:rFonts w:asciiTheme="minorHAnsi" w:hAnsiTheme="minorHAnsi" w:cstheme="minorHAnsi"/>
                <w:bCs/>
                <w:sz w:val="20"/>
                <w:szCs w:val="20"/>
              </w:rPr>
              <w:t>Deleted unused NTGs</w:t>
            </w:r>
          </w:p>
        </w:tc>
      </w:tr>
      <w:tr w:rsidR="00240BBA" w:rsidRPr="00697868" w:rsidTr="00770CBB">
        <w:trPr>
          <w:cnfStyle w:val="000000100000" w:firstRow="0" w:lastRow="0" w:firstColumn="0" w:lastColumn="0" w:oddVBand="0" w:evenVBand="0" w:oddHBand="1" w:evenHBand="0" w:firstRowFirstColumn="0" w:firstRowLastColumn="0" w:lastRowFirstColumn="0" w:lastRowLastColumn="0"/>
          <w:trHeight w:val="325"/>
        </w:trPr>
        <w:tc>
          <w:tcPr>
            <w:tcW w:w="756" w:type="pct"/>
          </w:tcPr>
          <w:p w:rsidR="00240BBA" w:rsidRDefault="00240BBA" w:rsidP="005903EE">
            <w:pPr>
              <w:rPr>
                <w:rFonts w:asciiTheme="minorHAnsi" w:hAnsiTheme="minorHAnsi" w:cstheme="minorHAnsi"/>
                <w:sz w:val="20"/>
                <w:szCs w:val="20"/>
              </w:rPr>
            </w:pPr>
            <w:r>
              <w:rPr>
                <w:rFonts w:asciiTheme="minorHAnsi" w:hAnsiTheme="minorHAnsi" w:cstheme="minorHAnsi"/>
                <w:sz w:val="20"/>
                <w:szCs w:val="20"/>
              </w:rPr>
              <w:t>SCE13LG085.2</w:t>
            </w:r>
          </w:p>
        </w:tc>
        <w:tc>
          <w:tcPr>
            <w:tcW w:w="513" w:type="pct"/>
          </w:tcPr>
          <w:p w:rsidR="00240BBA" w:rsidRDefault="00240BBA"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3" w:type="pct"/>
          </w:tcPr>
          <w:p w:rsidR="00240BBA" w:rsidRDefault="00240BBA" w:rsidP="002163E5">
            <w:pPr>
              <w:jc w:val="center"/>
              <w:rPr>
                <w:rFonts w:asciiTheme="minorHAnsi" w:hAnsiTheme="minorHAnsi" w:cstheme="minorHAnsi"/>
                <w:sz w:val="20"/>
                <w:szCs w:val="20"/>
              </w:rPr>
            </w:pPr>
            <w:r>
              <w:rPr>
                <w:rFonts w:asciiTheme="minorHAnsi" w:hAnsiTheme="minorHAnsi" w:cstheme="minorHAnsi"/>
                <w:sz w:val="20"/>
                <w:szCs w:val="20"/>
              </w:rPr>
              <w:t>12/04/13</w:t>
            </w:r>
          </w:p>
        </w:tc>
        <w:tc>
          <w:tcPr>
            <w:tcW w:w="933" w:type="pct"/>
          </w:tcPr>
          <w:p w:rsidR="00240BBA" w:rsidRDefault="00240BBA" w:rsidP="002163E5">
            <w:pPr>
              <w:rPr>
                <w:rFonts w:asciiTheme="minorHAnsi" w:hAnsiTheme="minorHAnsi" w:cstheme="minorHAnsi"/>
                <w:sz w:val="20"/>
                <w:szCs w:val="20"/>
              </w:rPr>
            </w:pPr>
            <w:r>
              <w:rPr>
                <w:rFonts w:asciiTheme="minorHAnsi" w:hAnsiTheme="minorHAnsi" w:cstheme="minorHAnsi"/>
                <w:sz w:val="20"/>
                <w:szCs w:val="20"/>
              </w:rPr>
              <w:t>Yun Han/SCE</w:t>
            </w:r>
          </w:p>
        </w:tc>
        <w:tc>
          <w:tcPr>
            <w:tcW w:w="2146" w:type="pct"/>
          </w:tcPr>
          <w:p w:rsidR="00240BBA" w:rsidRDefault="00240BBA" w:rsidP="00240BBA">
            <w:pPr>
              <w:pStyle w:val="ListParagraph"/>
              <w:numPr>
                <w:ilvl w:val="0"/>
                <w:numId w:val="12"/>
              </w:numPr>
              <w:rPr>
                <w:rFonts w:asciiTheme="minorHAnsi" w:hAnsiTheme="minorHAnsi" w:cstheme="minorHAnsi"/>
                <w:bCs/>
                <w:sz w:val="20"/>
                <w:szCs w:val="20"/>
              </w:rPr>
            </w:pPr>
            <w:r>
              <w:rPr>
                <w:rFonts w:asciiTheme="minorHAnsi" w:hAnsiTheme="minorHAnsi" w:cstheme="minorHAnsi"/>
                <w:bCs/>
                <w:sz w:val="20"/>
                <w:szCs w:val="20"/>
              </w:rPr>
              <w:t>Added 10 missing measures from Rev 0</w:t>
            </w:r>
          </w:p>
          <w:p w:rsidR="00240BBA" w:rsidRDefault="00240BBA" w:rsidP="00240BBA">
            <w:pPr>
              <w:pStyle w:val="ListParagraph"/>
              <w:numPr>
                <w:ilvl w:val="0"/>
                <w:numId w:val="12"/>
              </w:numPr>
              <w:rPr>
                <w:rFonts w:asciiTheme="minorHAnsi" w:hAnsiTheme="minorHAnsi" w:cstheme="minorHAnsi"/>
                <w:bCs/>
                <w:sz w:val="20"/>
                <w:szCs w:val="20"/>
              </w:rPr>
            </w:pPr>
            <w:r>
              <w:rPr>
                <w:rFonts w:asciiTheme="minorHAnsi" w:hAnsiTheme="minorHAnsi" w:cstheme="minorHAnsi"/>
                <w:bCs/>
                <w:sz w:val="20"/>
                <w:szCs w:val="20"/>
              </w:rPr>
              <w:t>Updated cost section that showed IMC in GMC section</w:t>
            </w:r>
          </w:p>
          <w:p w:rsidR="00240BBA" w:rsidRPr="00086DCF" w:rsidRDefault="00240BBA" w:rsidP="00240BBA">
            <w:pPr>
              <w:pStyle w:val="ListParagraph"/>
              <w:numPr>
                <w:ilvl w:val="0"/>
                <w:numId w:val="12"/>
              </w:numPr>
              <w:rPr>
                <w:rFonts w:asciiTheme="minorHAnsi" w:hAnsiTheme="minorHAnsi" w:cstheme="minorHAnsi"/>
                <w:bCs/>
                <w:sz w:val="20"/>
                <w:szCs w:val="20"/>
              </w:rPr>
            </w:pPr>
            <w:r>
              <w:rPr>
                <w:rFonts w:asciiTheme="minorHAnsi" w:hAnsiTheme="minorHAnsi" w:cstheme="minorHAnsi"/>
                <w:bCs/>
                <w:sz w:val="20"/>
                <w:szCs w:val="20"/>
              </w:rPr>
              <w:t>Removed Residential Building Types from Non-Res measures</w:t>
            </w:r>
          </w:p>
        </w:tc>
      </w:tr>
      <w:tr w:rsidR="00240BBA" w:rsidRPr="00697868" w:rsidTr="00770CBB">
        <w:trPr>
          <w:cnfStyle w:val="000000010000" w:firstRow="0" w:lastRow="0" w:firstColumn="0" w:lastColumn="0" w:oddVBand="0" w:evenVBand="0" w:oddHBand="0" w:evenHBand="1" w:firstRowFirstColumn="0" w:firstRowLastColumn="0" w:lastRowFirstColumn="0" w:lastRowLastColumn="0"/>
          <w:trHeight w:val="325"/>
        </w:trPr>
        <w:tc>
          <w:tcPr>
            <w:tcW w:w="756" w:type="pct"/>
            <w:vMerge w:val="restart"/>
          </w:tcPr>
          <w:p w:rsidR="00240BBA" w:rsidRPr="00697868" w:rsidRDefault="00240BBA" w:rsidP="005903EE">
            <w:pPr>
              <w:rPr>
                <w:rFonts w:asciiTheme="minorHAnsi" w:hAnsiTheme="minorHAnsi" w:cstheme="minorHAnsi"/>
                <w:sz w:val="20"/>
                <w:szCs w:val="20"/>
              </w:rPr>
            </w:pPr>
            <w:r>
              <w:rPr>
                <w:rFonts w:asciiTheme="minorHAnsi" w:hAnsiTheme="minorHAnsi" w:cstheme="minorHAnsi"/>
                <w:sz w:val="20"/>
                <w:szCs w:val="20"/>
              </w:rPr>
              <w:t>SCE13LG085.3</w:t>
            </w:r>
          </w:p>
        </w:tc>
        <w:tc>
          <w:tcPr>
            <w:tcW w:w="513" w:type="pct"/>
            <w:vMerge w:val="restart"/>
          </w:tcPr>
          <w:p w:rsidR="00240BBA" w:rsidRPr="00697868" w:rsidRDefault="00240BBA"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3" w:type="pct"/>
          </w:tcPr>
          <w:p w:rsidR="00240BBA" w:rsidRPr="00697868" w:rsidRDefault="00240BBA" w:rsidP="00240BBA">
            <w:pPr>
              <w:jc w:val="center"/>
              <w:rPr>
                <w:rFonts w:asciiTheme="minorHAnsi" w:hAnsiTheme="minorHAnsi" w:cstheme="minorHAnsi"/>
                <w:sz w:val="20"/>
                <w:szCs w:val="20"/>
              </w:rPr>
            </w:pPr>
            <w:r>
              <w:rPr>
                <w:rFonts w:asciiTheme="minorHAnsi" w:hAnsiTheme="minorHAnsi" w:cstheme="minorHAnsi"/>
                <w:sz w:val="20"/>
                <w:szCs w:val="20"/>
              </w:rPr>
              <w:t>03/28</w:t>
            </w:r>
            <w:r w:rsidRPr="00697868">
              <w:rPr>
                <w:rFonts w:asciiTheme="minorHAnsi" w:hAnsiTheme="minorHAnsi" w:cstheme="minorHAnsi"/>
                <w:sz w:val="20"/>
                <w:szCs w:val="20"/>
              </w:rPr>
              <w:t>/14</w:t>
            </w:r>
          </w:p>
        </w:tc>
        <w:tc>
          <w:tcPr>
            <w:tcW w:w="933" w:type="pct"/>
          </w:tcPr>
          <w:p w:rsidR="00240BBA" w:rsidRPr="00697868" w:rsidRDefault="00240BBA" w:rsidP="007048AC">
            <w:pPr>
              <w:rPr>
                <w:rFonts w:asciiTheme="minorHAnsi" w:hAnsiTheme="minorHAnsi" w:cstheme="minorHAnsi"/>
                <w:sz w:val="20"/>
                <w:szCs w:val="20"/>
              </w:rPr>
            </w:pPr>
            <w:r>
              <w:rPr>
                <w:rFonts w:asciiTheme="minorHAnsi" w:hAnsiTheme="minorHAnsi" w:cstheme="minorHAnsi"/>
                <w:sz w:val="20"/>
                <w:szCs w:val="20"/>
              </w:rPr>
              <w:t>David Pruitt/PL Energy</w:t>
            </w:r>
          </w:p>
        </w:tc>
        <w:tc>
          <w:tcPr>
            <w:tcW w:w="2146" w:type="pct"/>
          </w:tcPr>
          <w:p w:rsidR="00770CBB" w:rsidRDefault="00240BBA" w:rsidP="00CE28CF">
            <w:pPr>
              <w:pStyle w:val="ListParagraph"/>
              <w:numPr>
                <w:ilvl w:val="0"/>
                <w:numId w:val="14"/>
              </w:numPr>
              <w:rPr>
                <w:rFonts w:asciiTheme="minorHAnsi" w:hAnsiTheme="minorHAnsi" w:cstheme="minorHAnsi"/>
                <w:bCs/>
                <w:sz w:val="20"/>
                <w:szCs w:val="20"/>
              </w:rPr>
            </w:pPr>
            <w:r w:rsidRPr="00770CBB">
              <w:rPr>
                <w:rFonts w:asciiTheme="minorHAnsi" w:hAnsiTheme="minorHAnsi" w:cstheme="minorHAnsi"/>
                <w:bCs/>
                <w:sz w:val="20"/>
                <w:szCs w:val="20"/>
              </w:rPr>
              <w:t>New</w:t>
            </w:r>
            <w:r w:rsidR="00770CBB" w:rsidRPr="00770CBB">
              <w:rPr>
                <w:rFonts w:asciiTheme="minorHAnsi" w:hAnsiTheme="minorHAnsi" w:cstheme="minorHAnsi"/>
                <w:bCs/>
                <w:sz w:val="20"/>
                <w:szCs w:val="20"/>
              </w:rPr>
              <w:t xml:space="preserve"> template for 2015 program year</w:t>
            </w:r>
          </w:p>
          <w:p w:rsidR="00770CBB" w:rsidRDefault="00240BBA" w:rsidP="00770CBB">
            <w:pPr>
              <w:pStyle w:val="ListParagraph"/>
              <w:numPr>
                <w:ilvl w:val="0"/>
                <w:numId w:val="14"/>
              </w:numPr>
              <w:rPr>
                <w:rFonts w:asciiTheme="minorHAnsi" w:hAnsiTheme="minorHAnsi" w:cstheme="minorHAnsi"/>
                <w:bCs/>
                <w:sz w:val="20"/>
                <w:szCs w:val="20"/>
              </w:rPr>
            </w:pPr>
            <w:r w:rsidRPr="00770CBB">
              <w:rPr>
                <w:rFonts w:asciiTheme="minorHAnsi" w:hAnsiTheme="minorHAnsi" w:cstheme="minorHAnsi"/>
                <w:bCs/>
                <w:sz w:val="20"/>
                <w:szCs w:val="20"/>
              </w:rPr>
              <w:t xml:space="preserve"> Used measure Wattages from the ED lighting disposition table dated </w:t>
            </w:r>
            <w:r w:rsidR="0035762B" w:rsidRPr="00770CBB">
              <w:rPr>
                <w:rFonts w:asciiTheme="minorHAnsi" w:hAnsiTheme="minorHAnsi" w:cstheme="minorHAnsi"/>
                <w:bCs/>
                <w:sz w:val="20"/>
                <w:szCs w:val="20"/>
              </w:rPr>
              <w:t>30</w:t>
            </w:r>
            <w:r w:rsidRPr="00770CBB">
              <w:rPr>
                <w:rFonts w:asciiTheme="minorHAnsi" w:hAnsiTheme="minorHAnsi" w:cstheme="minorHAnsi"/>
                <w:bCs/>
                <w:sz w:val="20"/>
                <w:szCs w:val="20"/>
              </w:rPr>
              <w:t xml:space="preserve"> </w:t>
            </w:r>
            <w:r w:rsidR="0035762B" w:rsidRPr="00770CBB">
              <w:rPr>
                <w:rFonts w:asciiTheme="minorHAnsi" w:hAnsiTheme="minorHAnsi" w:cstheme="minorHAnsi"/>
                <w:bCs/>
                <w:sz w:val="20"/>
                <w:szCs w:val="20"/>
              </w:rPr>
              <w:t>May, 2014</w:t>
            </w:r>
          </w:p>
          <w:p w:rsidR="00240BBA" w:rsidRPr="00697868" w:rsidRDefault="00240BBA" w:rsidP="00770CBB">
            <w:pPr>
              <w:pStyle w:val="ListParagraph"/>
              <w:numPr>
                <w:ilvl w:val="0"/>
                <w:numId w:val="14"/>
              </w:numPr>
              <w:rPr>
                <w:rFonts w:asciiTheme="minorHAnsi" w:hAnsiTheme="minorHAnsi" w:cstheme="minorHAnsi"/>
                <w:bCs/>
                <w:sz w:val="20"/>
                <w:szCs w:val="20"/>
              </w:rPr>
            </w:pPr>
            <w:r>
              <w:rPr>
                <w:rFonts w:asciiTheme="minorHAnsi" w:hAnsiTheme="minorHAnsi" w:cstheme="minorHAnsi"/>
                <w:bCs/>
                <w:sz w:val="20"/>
                <w:szCs w:val="20"/>
              </w:rPr>
              <w:t xml:space="preserve"> Included the new READI fields.</w:t>
            </w:r>
          </w:p>
        </w:tc>
      </w:tr>
      <w:tr w:rsidR="00240BBA" w:rsidRPr="00697868" w:rsidTr="00770CBB">
        <w:trPr>
          <w:cnfStyle w:val="000000100000" w:firstRow="0" w:lastRow="0" w:firstColumn="0" w:lastColumn="0" w:oddVBand="0" w:evenVBand="0" w:oddHBand="1" w:evenHBand="0" w:firstRowFirstColumn="0" w:firstRowLastColumn="0" w:lastRowFirstColumn="0" w:lastRowLastColumn="0"/>
          <w:trHeight w:val="325"/>
        </w:trPr>
        <w:tc>
          <w:tcPr>
            <w:tcW w:w="756" w:type="pct"/>
            <w:vMerge/>
          </w:tcPr>
          <w:p w:rsidR="00240BBA" w:rsidRDefault="00240BBA" w:rsidP="00D36798">
            <w:pPr>
              <w:rPr>
                <w:rFonts w:asciiTheme="minorHAnsi" w:hAnsiTheme="minorHAnsi" w:cstheme="minorHAnsi"/>
                <w:sz w:val="20"/>
                <w:szCs w:val="20"/>
              </w:rPr>
            </w:pPr>
          </w:p>
        </w:tc>
        <w:tc>
          <w:tcPr>
            <w:tcW w:w="513" w:type="pct"/>
            <w:vMerge/>
          </w:tcPr>
          <w:p w:rsidR="00240BBA" w:rsidRDefault="00240BBA" w:rsidP="00E81F3E">
            <w:pPr>
              <w:jc w:val="center"/>
              <w:rPr>
                <w:rFonts w:asciiTheme="minorHAnsi" w:hAnsiTheme="minorHAnsi" w:cstheme="minorHAnsi"/>
                <w:sz w:val="20"/>
                <w:szCs w:val="20"/>
              </w:rPr>
            </w:pPr>
          </w:p>
        </w:tc>
        <w:tc>
          <w:tcPr>
            <w:tcW w:w="653" w:type="pct"/>
          </w:tcPr>
          <w:p w:rsidR="00240BBA" w:rsidRDefault="00240BBA" w:rsidP="00C66485">
            <w:pPr>
              <w:jc w:val="center"/>
              <w:rPr>
                <w:rFonts w:asciiTheme="minorHAnsi" w:hAnsiTheme="minorHAnsi" w:cstheme="minorHAnsi"/>
                <w:sz w:val="20"/>
                <w:szCs w:val="20"/>
              </w:rPr>
            </w:pPr>
            <w:r>
              <w:rPr>
                <w:rFonts w:asciiTheme="minorHAnsi" w:hAnsiTheme="minorHAnsi" w:cstheme="minorHAnsi"/>
                <w:sz w:val="20"/>
                <w:szCs w:val="20"/>
              </w:rPr>
              <w:t>08/04/14</w:t>
            </w:r>
          </w:p>
        </w:tc>
        <w:tc>
          <w:tcPr>
            <w:tcW w:w="933" w:type="pct"/>
          </w:tcPr>
          <w:p w:rsidR="00240BBA" w:rsidRDefault="00240BBA" w:rsidP="007048AC">
            <w:pPr>
              <w:rPr>
                <w:rFonts w:asciiTheme="minorHAnsi" w:hAnsiTheme="minorHAnsi" w:cstheme="minorHAnsi"/>
                <w:sz w:val="20"/>
                <w:szCs w:val="20"/>
              </w:rPr>
            </w:pPr>
            <w:r>
              <w:rPr>
                <w:rFonts w:asciiTheme="minorHAnsi" w:hAnsiTheme="minorHAnsi" w:cstheme="minorHAnsi"/>
                <w:sz w:val="20"/>
                <w:szCs w:val="20"/>
              </w:rPr>
              <w:t>Jack Melnyk/SCE</w:t>
            </w:r>
          </w:p>
        </w:tc>
        <w:tc>
          <w:tcPr>
            <w:tcW w:w="2146" w:type="pct"/>
          </w:tcPr>
          <w:p w:rsidR="00770CBB" w:rsidRDefault="0035762B" w:rsidP="005903EE">
            <w:pPr>
              <w:pStyle w:val="ListParagraph"/>
              <w:numPr>
                <w:ilvl w:val="0"/>
                <w:numId w:val="13"/>
              </w:numPr>
              <w:rPr>
                <w:rFonts w:asciiTheme="minorHAnsi" w:hAnsiTheme="minorHAnsi" w:cstheme="minorHAnsi"/>
                <w:bCs/>
                <w:sz w:val="20"/>
                <w:szCs w:val="20"/>
              </w:rPr>
            </w:pPr>
            <w:r w:rsidRPr="00770CBB">
              <w:rPr>
                <w:rFonts w:asciiTheme="minorHAnsi" w:hAnsiTheme="minorHAnsi" w:cstheme="minorHAnsi"/>
                <w:bCs/>
                <w:sz w:val="20"/>
                <w:szCs w:val="20"/>
              </w:rPr>
              <w:t>WRR of CFL Fixtures updated from 3.47 to 3.53</w:t>
            </w:r>
            <w:r w:rsidR="001C1CE4">
              <w:rPr>
                <w:rFonts w:asciiTheme="minorHAnsi" w:hAnsiTheme="minorHAnsi" w:cstheme="minorHAnsi"/>
                <w:bCs/>
                <w:sz w:val="20"/>
                <w:szCs w:val="20"/>
              </w:rPr>
              <w:t>, including measure names</w:t>
            </w:r>
          </w:p>
          <w:p w:rsidR="00770CBB" w:rsidRDefault="00770CBB" w:rsidP="005903EE">
            <w:pPr>
              <w:pStyle w:val="ListParagraph"/>
              <w:numPr>
                <w:ilvl w:val="0"/>
                <w:numId w:val="13"/>
              </w:numPr>
              <w:rPr>
                <w:rFonts w:asciiTheme="minorHAnsi" w:hAnsiTheme="minorHAnsi" w:cstheme="minorHAnsi"/>
                <w:bCs/>
                <w:sz w:val="20"/>
                <w:szCs w:val="20"/>
              </w:rPr>
            </w:pPr>
            <w:r w:rsidRPr="00770CBB">
              <w:rPr>
                <w:rFonts w:asciiTheme="minorHAnsi" w:hAnsiTheme="minorHAnsi" w:cstheme="minorHAnsi"/>
                <w:bCs/>
                <w:sz w:val="20"/>
                <w:szCs w:val="20"/>
              </w:rPr>
              <w:t>Updated 64W Interior Common Area measure SC from LT-27559 to LT-72843</w:t>
            </w:r>
          </w:p>
          <w:p w:rsidR="00770CBB" w:rsidRDefault="0035762B" w:rsidP="005903EE">
            <w:pPr>
              <w:pStyle w:val="ListParagraph"/>
              <w:numPr>
                <w:ilvl w:val="0"/>
                <w:numId w:val="13"/>
              </w:numPr>
              <w:rPr>
                <w:rFonts w:asciiTheme="minorHAnsi" w:hAnsiTheme="minorHAnsi" w:cstheme="minorHAnsi"/>
                <w:bCs/>
                <w:sz w:val="20"/>
                <w:szCs w:val="20"/>
              </w:rPr>
            </w:pPr>
            <w:r w:rsidRPr="00770CBB">
              <w:rPr>
                <w:rFonts w:asciiTheme="minorHAnsi" w:hAnsiTheme="minorHAnsi" w:cstheme="minorHAnsi"/>
                <w:bCs/>
                <w:sz w:val="20"/>
                <w:szCs w:val="20"/>
              </w:rPr>
              <w:t>Adjusted CFL Fixture savings based on DEER operating hours from Motel Corridor to Common Areas for Common Area measures</w:t>
            </w:r>
          </w:p>
          <w:p w:rsidR="00770CBB" w:rsidRDefault="0035762B" w:rsidP="005903EE">
            <w:pPr>
              <w:pStyle w:val="ListParagraph"/>
              <w:numPr>
                <w:ilvl w:val="0"/>
                <w:numId w:val="13"/>
              </w:numPr>
              <w:rPr>
                <w:rFonts w:asciiTheme="minorHAnsi" w:hAnsiTheme="minorHAnsi" w:cstheme="minorHAnsi"/>
                <w:bCs/>
                <w:sz w:val="20"/>
                <w:szCs w:val="20"/>
              </w:rPr>
            </w:pPr>
            <w:r w:rsidRPr="00770CBB">
              <w:rPr>
                <w:rFonts w:asciiTheme="minorHAnsi" w:hAnsiTheme="minorHAnsi" w:cstheme="minorHAnsi"/>
                <w:bCs/>
                <w:sz w:val="20"/>
                <w:szCs w:val="20"/>
              </w:rPr>
              <w:t>Removed READI savings and used DEER methodology for Dwelling measures</w:t>
            </w:r>
          </w:p>
          <w:p w:rsidR="00770CBB" w:rsidRDefault="0035762B" w:rsidP="00770CBB">
            <w:pPr>
              <w:pStyle w:val="ListParagraph"/>
              <w:numPr>
                <w:ilvl w:val="0"/>
                <w:numId w:val="13"/>
              </w:numPr>
              <w:rPr>
                <w:rFonts w:asciiTheme="minorHAnsi" w:hAnsiTheme="minorHAnsi" w:cstheme="minorHAnsi"/>
                <w:bCs/>
                <w:sz w:val="20"/>
                <w:szCs w:val="20"/>
              </w:rPr>
            </w:pPr>
            <w:r w:rsidRPr="00770CBB">
              <w:rPr>
                <w:rFonts w:asciiTheme="minorHAnsi" w:hAnsiTheme="minorHAnsi" w:cstheme="minorHAnsi"/>
                <w:bCs/>
                <w:sz w:val="20"/>
                <w:szCs w:val="20"/>
              </w:rPr>
              <w:t>Added code baseline for HID measures</w:t>
            </w:r>
          </w:p>
          <w:p w:rsidR="001E1612" w:rsidRPr="00697868" w:rsidRDefault="001E1612" w:rsidP="00770CBB">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Workpaper updated for reporting period, effective 7/1/2014-12/31/2014</w:t>
            </w:r>
          </w:p>
        </w:tc>
      </w:tr>
    </w:tbl>
    <w:p w:rsidR="009500DC" w:rsidRPr="00697868" w:rsidRDefault="009500DC" w:rsidP="00DA690B">
      <w:pPr>
        <w:rPr>
          <w:rFonts w:asciiTheme="minorHAnsi" w:hAnsiTheme="minorHAnsi" w:cstheme="minorHAnsi"/>
        </w:rPr>
        <w:sectPr w:rsidR="009500DC" w:rsidRPr="00697868" w:rsidSect="007F7FBA">
          <w:footerReference w:type="default" r:id="rId10"/>
          <w:endnotePr>
            <w:numFmt w:val="upperLetter"/>
          </w:endnotePr>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rsidR="00506083" w:rsidRPr="008B44A4" w:rsidRDefault="00506083" w:rsidP="00506083">
      <w:pPr>
        <w:pStyle w:val="Reminders"/>
        <w:rPr>
          <w:rFonts w:ascii="Calibri" w:hAnsi="Calibri" w:cs="Calibri"/>
          <w:i w:val="0"/>
          <w:color w:val="auto"/>
          <w:sz w:val="22"/>
          <w:szCs w:val="22"/>
        </w:rPr>
      </w:pPr>
      <w:r w:rsidRPr="008B44A4">
        <w:rPr>
          <w:rFonts w:ascii="Calibri" w:hAnsi="Calibri" w:cs="Calibri"/>
          <w:i w:val="0"/>
          <w:color w:val="auto"/>
          <w:sz w:val="22"/>
          <w:szCs w:val="22"/>
        </w:rPr>
        <w:t>This work paper details the replacement of various low efficacy fixtures (i.e. &lt;100 Watt lamp base</w:t>
      </w:r>
      <w:r w:rsidR="00F15384">
        <w:rPr>
          <w:rFonts w:ascii="Calibri" w:hAnsi="Calibri" w:cs="Calibri"/>
          <w:i w:val="0"/>
          <w:color w:val="auto"/>
          <w:sz w:val="22"/>
          <w:szCs w:val="22"/>
        </w:rPr>
        <w:t xml:space="preserve"> case</w:t>
      </w:r>
      <w:r w:rsidRPr="008B44A4">
        <w:rPr>
          <w:rFonts w:ascii="Calibri" w:hAnsi="Calibri" w:cs="Calibri"/>
          <w:i w:val="0"/>
          <w:color w:val="auto"/>
          <w:sz w:val="22"/>
          <w:szCs w:val="22"/>
        </w:rPr>
        <w:t xml:space="preserve">) with compact fluorescent fixtures (i.e. 70 Watt Interior Fixture CFL) in various target sectors.  </w:t>
      </w:r>
      <w:r w:rsidRPr="008B44A4">
        <w:rPr>
          <w:rFonts w:ascii="Calibri" w:hAnsi="Calibri" w:cs="Calibri"/>
          <w:sz w:val="22"/>
          <w:szCs w:val="22"/>
        </w:rPr>
        <w:fldChar w:fldCharType="begin"/>
      </w:r>
      <w:r w:rsidRPr="008B44A4">
        <w:rPr>
          <w:rFonts w:ascii="Calibri" w:hAnsi="Calibri" w:cs="Calibri"/>
          <w:sz w:val="22"/>
          <w:szCs w:val="22"/>
        </w:rPr>
        <w:instrText xml:space="preserve"> REF _Ref321992762 \h  \* MERGEFORMAT </w:instrText>
      </w:r>
      <w:r w:rsidRPr="008B44A4">
        <w:rPr>
          <w:rFonts w:ascii="Calibri" w:hAnsi="Calibri" w:cs="Calibri"/>
          <w:sz w:val="22"/>
          <w:szCs w:val="22"/>
        </w:rPr>
      </w:r>
      <w:r w:rsidRPr="008B44A4">
        <w:rPr>
          <w:rFonts w:ascii="Calibri" w:hAnsi="Calibri" w:cs="Calibri"/>
          <w:sz w:val="22"/>
          <w:szCs w:val="22"/>
        </w:rPr>
        <w:fldChar w:fldCharType="separate"/>
      </w:r>
      <w:r w:rsidR="00AF6312" w:rsidRPr="00AF6312">
        <w:rPr>
          <w:rFonts w:ascii="Calibri" w:hAnsi="Calibri" w:cs="Calibri"/>
          <w:i w:val="0"/>
          <w:color w:val="auto"/>
          <w:sz w:val="22"/>
          <w:szCs w:val="22"/>
        </w:rPr>
        <w:t>Table 1</w:t>
      </w:r>
      <w:r w:rsidRPr="008B44A4">
        <w:rPr>
          <w:rFonts w:ascii="Calibri" w:hAnsi="Calibri" w:cs="Calibri"/>
          <w:sz w:val="22"/>
          <w:szCs w:val="22"/>
        </w:rPr>
        <w:fldChar w:fldCharType="end"/>
      </w:r>
      <w:r w:rsidRPr="008B44A4">
        <w:rPr>
          <w:rFonts w:ascii="Calibri" w:hAnsi="Calibri" w:cs="Calibri"/>
          <w:i w:val="0"/>
          <w:color w:val="auto"/>
          <w:sz w:val="22"/>
          <w:szCs w:val="22"/>
        </w:rPr>
        <w:t xml:space="preserve"> shows the list of core measures included in this work paper by solution code.</w:t>
      </w:r>
    </w:p>
    <w:p w:rsidR="00506083" w:rsidRPr="008B44A4" w:rsidRDefault="00506083" w:rsidP="00506083">
      <w:pPr>
        <w:pStyle w:val="Reminders"/>
        <w:rPr>
          <w:rFonts w:ascii="Calibri" w:hAnsi="Calibri" w:cs="Calibri"/>
          <w:i w:val="0"/>
          <w:color w:val="auto"/>
          <w:sz w:val="22"/>
          <w:szCs w:val="22"/>
        </w:rPr>
      </w:pPr>
    </w:p>
    <w:p w:rsidR="00506083" w:rsidRPr="0076695E" w:rsidRDefault="00506083" w:rsidP="00506083">
      <w:pPr>
        <w:pStyle w:val="Caption"/>
        <w:jc w:val="center"/>
        <w:rPr>
          <w:rFonts w:ascii="Calibri" w:hAnsi="Calibri" w:cs="Calibri"/>
          <w:sz w:val="22"/>
          <w:szCs w:val="22"/>
        </w:rPr>
      </w:pPr>
      <w:bookmarkStart w:id="8" w:name="_Ref321992762"/>
      <w:r w:rsidRPr="0076695E">
        <w:rPr>
          <w:rFonts w:ascii="Calibri" w:hAnsi="Calibri" w:cs="Calibri"/>
          <w:sz w:val="22"/>
          <w:szCs w:val="22"/>
        </w:rPr>
        <w:t xml:space="preserve">Table </w:t>
      </w:r>
      <w:r w:rsidRPr="0076695E">
        <w:rPr>
          <w:rFonts w:ascii="Calibri" w:hAnsi="Calibri" w:cs="Calibri"/>
          <w:sz w:val="22"/>
          <w:szCs w:val="22"/>
        </w:rPr>
        <w:fldChar w:fldCharType="begin"/>
      </w:r>
      <w:r w:rsidRPr="0076695E">
        <w:rPr>
          <w:rFonts w:ascii="Calibri" w:hAnsi="Calibri" w:cs="Calibri"/>
          <w:sz w:val="22"/>
          <w:szCs w:val="22"/>
        </w:rPr>
        <w:instrText xml:space="preserve"> SEQ Table \* ARABIC </w:instrText>
      </w:r>
      <w:r w:rsidRPr="0076695E">
        <w:rPr>
          <w:rFonts w:ascii="Calibri" w:hAnsi="Calibri" w:cs="Calibri"/>
          <w:sz w:val="22"/>
          <w:szCs w:val="22"/>
        </w:rPr>
        <w:fldChar w:fldCharType="separate"/>
      </w:r>
      <w:r w:rsidR="00AF6312">
        <w:rPr>
          <w:rFonts w:ascii="Calibri" w:hAnsi="Calibri" w:cs="Calibri"/>
          <w:noProof/>
          <w:sz w:val="22"/>
          <w:szCs w:val="22"/>
        </w:rPr>
        <w:t>1</w:t>
      </w:r>
      <w:r w:rsidRPr="0076695E">
        <w:rPr>
          <w:rFonts w:ascii="Calibri" w:hAnsi="Calibri" w:cs="Calibri"/>
          <w:sz w:val="22"/>
          <w:szCs w:val="22"/>
        </w:rPr>
        <w:fldChar w:fldCharType="end"/>
      </w:r>
      <w:bookmarkEnd w:id="8"/>
      <w:r w:rsidRPr="0076695E">
        <w:rPr>
          <w:rFonts w:ascii="Calibri" w:hAnsi="Calibri" w:cs="Calibri"/>
          <w:sz w:val="22"/>
          <w:szCs w:val="22"/>
        </w:rPr>
        <w:t xml:space="preserve"> Measure Names</w:t>
      </w:r>
    </w:p>
    <w:tbl>
      <w:tblPr>
        <w:tblStyle w:val="TableContemporary"/>
        <w:tblW w:w="0" w:type="auto"/>
        <w:jc w:val="center"/>
        <w:tblLook w:val="04A0" w:firstRow="1" w:lastRow="0" w:firstColumn="1" w:lastColumn="0" w:noHBand="0" w:noVBand="1"/>
      </w:tblPr>
      <w:tblGrid>
        <w:gridCol w:w="1466"/>
        <w:gridCol w:w="7766"/>
      </w:tblGrid>
      <w:tr w:rsidR="00506083" w:rsidRPr="0076695E" w:rsidTr="001C1CE4">
        <w:trPr>
          <w:cnfStyle w:val="100000000000" w:firstRow="1" w:lastRow="0" w:firstColumn="0" w:lastColumn="0" w:oddVBand="0" w:evenVBand="0" w:oddHBand="0" w:evenHBand="0" w:firstRowFirstColumn="0" w:firstRowLastColumn="0" w:lastRowFirstColumn="0" w:lastRowLastColumn="0"/>
          <w:jc w:val="center"/>
        </w:trPr>
        <w:tc>
          <w:tcPr>
            <w:tcW w:w="1466" w:type="dxa"/>
          </w:tcPr>
          <w:p w:rsidR="00506083" w:rsidRPr="00297415" w:rsidRDefault="00506083" w:rsidP="00984951">
            <w:pPr>
              <w:rPr>
                <w:rFonts w:asciiTheme="minorHAnsi" w:hAnsiTheme="minorHAnsi" w:cs="Calibri"/>
                <w:bCs w:val="0"/>
                <w:sz w:val="20"/>
                <w:szCs w:val="20"/>
              </w:rPr>
            </w:pPr>
            <w:r w:rsidRPr="00297415">
              <w:rPr>
                <w:rFonts w:asciiTheme="minorHAnsi" w:hAnsiTheme="minorHAnsi" w:cs="Calibri"/>
                <w:bCs w:val="0"/>
                <w:sz w:val="20"/>
                <w:szCs w:val="20"/>
              </w:rPr>
              <w:t>Solution Code</w:t>
            </w:r>
          </w:p>
        </w:tc>
        <w:tc>
          <w:tcPr>
            <w:tcW w:w="7766" w:type="dxa"/>
          </w:tcPr>
          <w:p w:rsidR="00506083" w:rsidRPr="00297415" w:rsidRDefault="00506083" w:rsidP="00984951">
            <w:pPr>
              <w:rPr>
                <w:rFonts w:asciiTheme="minorHAnsi" w:hAnsiTheme="minorHAnsi" w:cs="Calibri"/>
                <w:bCs w:val="0"/>
                <w:sz w:val="20"/>
                <w:szCs w:val="20"/>
              </w:rPr>
            </w:pPr>
            <w:r w:rsidRPr="00297415">
              <w:rPr>
                <w:rFonts w:asciiTheme="minorHAnsi" w:hAnsiTheme="minorHAnsi" w:cs="Calibri"/>
                <w:bCs w:val="0"/>
                <w:sz w:val="20"/>
                <w:szCs w:val="20"/>
              </w:rPr>
              <w:t>Measure name</w:t>
            </w:r>
          </w:p>
        </w:tc>
      </w:tr>
      <w:tr w:rsidR="00506083"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tcPr>
          <w:p w:rsidR="00506083" w:rsidRPr="002A3C6C" w:rsidRDefault="00506083" w:rsidP="00984951">
            <w:pPr>
              <w:jc w:val="center"/>
              <w:rPr>
                <w:rFonts w:asciiTheme="minorHAnsi" w:hAnsiTheme="minorHAnsi" w:cstheme="minorHAnsi"/>
                <w:sz w:val="20"/>
                <w:szCs w:val="20"/>
              </w:rPr>
            </w:pPr>
            <w:r w:rsidRPr="002A3C6C">
              <w:rPr>
                <w:rFonts w:asciiTheme="minorHAnsi" w:hAnsiTheme="minorHAnsi" w:cstheme="minorHAnsi"/>
                <w:color w:val="000000"/>
                <w:sz w:val="20"/>
                <w:szCs w:val="20"/>
              </w:rPr>
              <w:t>LT-17083</w:t>
            </w:r>
          </w:p>
        </w:tc>
        <w:tc>
          <w:tcPr>
            <w:tcW w:w="7766" w:type="dxa"/>
          </w:tcPr>
          <w:p w:rsidR="00506083" w:rsidRPr="002A3C6C" w:rsidRDefault="00506083" w:rsidP="00984951">
            <w:pPr>
              <w:rPr>
                <w:rFonts w:asciiTheme="minorHAnsi" w:hAnsiTheme="minorHAnsi" w:cstheme="minorHAnsi"/>
                <w:sz w:val="20"/>
                <w:szCs w:val="20"/>
              </w:rPr>
            </w:pPr>
            <w:r w:rsidRPr="002A3C6C">
              <w:rPr>
                <w:rFonts w:asciiTheme="minorHAnsi" w:hAnsiTheme="minorHAnsi" w:cstheme="minorHAnsi"/>
                <w:color w:val="000000"/>
                <w:sz w:val="20"/>
                <w:szCs w:val="20"/>
              </w:rPr>
              <w:t>Up to 70 Watt Interior Fixture CFL replacing less than 100 Watt lamp base case</w:t>
            </w:r>
          </w:p>
        </w:tc>
      </w:tr>
      <w:tr w:rsidR="00506083"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tcPr>
          <w:p w:rsidR="00506083" w:rsidRPr="002A3C6C" w:rsidRDefault="00506083" w:rsidP="00984951">
            <w:pPr>
              <w:jc w:val="center"/>
              <w:rPr>
                <w:rFonts w:asciiTheme="minorHAnsi" w:hAnsiTheme="minorHAnsi" w:cstheme="minorHAnsi"/>
                <w:sz w:val="20"/>
                <w:szCs w:val="20"/>
              </w:rPr>
            </w:pPr>
            <w:r w:rsidRPr="002A3C6C">
              <w:rPr>
                <w:rFonts w:asciiTheme="minorHAnsi" w:hAnsiTheme="minorHAnsi" w:cstheme="minorHAnsi"/>
                <w:color w:val="000000"/>
                <w:sz w:val="20"/>
                <w:szCs w:val="20"/>
              </w:rPr>
              <w:t>LT-83701</w:t>
            </w:r>
          </w:p>
        </w:tc>
        <w:tc>
          <w:tcPr>
            <w:tcW w:w="7766" w:type="dxa"/>
          </w:tcPr>
          <w:p w:rsidR="00506083" w:rsidRPr="002A3C6C" w:rsidRDefault="00506083" w:rsidP="00984951">
            <w:pPr>
              <w:rPr>
                <w:rFonts w:asciiTheme="minorHAnsi" w:hAnsiTheme="minorHAnsi" w:cstheme="minorHAnsi"/>
                <w:sz w:val="20"/>
                <w:szCs w:val="20"/>
              </w:rPr>
            </w:pPr>
            <w:r w:rsidRPr="002A3C6C">
              <w:rPr>
                <w:rFonts w:asciiTheme="minorHAnsi" w:hAnsiTheme="minorHAnsi" w:cstheme="minorHAnsi"/>
                <w:color w:val="000000"/>
                <w:sz w:val="20"/>
                <w:szCs w:val="20"/>
              </w:rPr>
              <w:t>Up to 128 Watt Interior Fixture CFL replacing 101 - 175 Watt lamp base case</w:t>
            </w:r>
          </w:p>
        </w:tc>
      </w:tr>
      <w:tr w:rsidR="00506083"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tcPr>
          <w:p w:rsidR="00506083" w:rsidRPr="002A3C6C" w:rsidRDefault="00506083" w:rsidP="00984951">
            <w:pPr>
              <w:jc w:val="center"/>
              <w:rPr>
                <w:rFonts w:asciiTheme="minorHAnsi" w:hAnsiTheme="minorHAnsi" w:cstheme="minorHAnsi"/>
                <w:sz w:val="20"/>
                <w:szCs w:val="20"/>
              </w:rPr>
            </w:pPr>
            <w:r w:rsidRPr="002A3C6C">
              <w:rPr>
                <w:rFonts w:asciiTheme="minorHAnsi" w:hAnsiTheme="minorHAnsi" w:cstheme="minorHAnsi"/>
                <w:color w:val="000000"/>
                <w:sz w:val="20"/>
                <w:szCs w:val="20"/>
              </w:rPr>
              <w:t>LT-33489</w:t>
            </w:r>
          </w:p>
        </w:tc>
        <w:tc>
          <w:tcPr>
            <w:tcW w:w="7766" w:type="dxa"/>
          </w:tcPr>
          <w:p w:rsidR="00506083" w:rsidRPr="002A3C6C" w:rsidRDefault="00506083" w:rsidP="00984951">
            <w:pPr>
              <w:rPr>
                <w:rFonts w:asciiTheme="minorHAnsi" w:hAnsiTheme="minorHAnsi" w:cstheme="minorHAnsi"/>
                <w:sz w:val="20"/>
                <w:szCs w:val="20"/>
              </w:rPr>
            </w:pPr>
            <w:r w:rsidRPr="002A3C6C">
              <w:rPr>
                <w:rFonts w:asciiTheme="minorHAnsi" w:hAnsiTheme="minorHAnsi" w:cstheme="minorHAnsi"/>
                <w:color w:val="000000"/>
                <w:sz w:val="20"/>
                <w:szCs w:val="20"/>
              </w:rPr>
              <w:t>Up to 192 Watt Interior Fixture CFL replacing 176 - 399 Watt lamp base case</w:t>
            </w:r>
          </w:p>
        </w:tc>
      </w:tr>
      <w:tr w:rsidR="00506083"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tcPr>
          <w:p w:rsidR="00506083" w:rsidRPr="002A3C6C" w:rsidRDefault="00506083" w:rsidP="00984951">
            <w:pPr>
              <w:jc w:val="center"/>
              <w:rPr>
                <w:rFonts w:asciiTheme="minorHAnsi" w:hAnsiTheme="minorHAnsi" w:cstheme="minorHAnsi"/>
                <w:sz w:val="20"/>
                <w:szCs w:val="20"/>
              </w:rPr>
            </w:pPr>
            <w:r w:rsidRPr="002A3C6C">
              <w:rPr>
                <w:rFonts w:asciiTheme="minorHAnsi" w:hAnsiTheme="minorHAnsi" w:cstheme="minorHAnsi"/>
                <w:color w:val="000000"/>
                <w:sz w:val="20"/>
                <w:szCs w:val="20"/>
              </w:rPr>
              <w:t>LT-26133</w:t>
            </w:r>
          </w:p>
        </w:tc>
        <w:tc>
          <w:tcPr>
            <w:tcW w:w="7766" w:type="dxa"/>
          </w:tcPr>
          <w:p w:rsidR="00506083" w:rsidRPr="002A3C6C" w:rsidRDefault="00506083" w:rsidP="00984951">
            <w:pPr>
              <w:rPr>
                <w:rFonts w:asciiTheme="minorHAnsi" w:hAnsiTheme="minorHAnsi" w:cstheme="minorHAnsi"/>
                <w:sz w:val="20"/>
                <w:szCs w:val="20"/>
              </w:rPr>
            </w:pPr>
            <w:r w:rsidRPr="002A3C6C">
              <w:rPr>
                <w:rFonts w:asciiTheme="minorHAnsi" w:hAnsiTheme="minorHAnsi" w:cstheme="minorHAnsi"/>
                <w:color w:val="000000"/>
                <w:sz w:val="20"/>
                <w:szCs w:val="20"/>
              </w:rPr>
              <w:t>Up to 244 Watt (Tier 1) Interior Fixture CFL replacing greater than 400 Watt lamp base case</w:t>
            </w:r>
          </w:p>
        </w:tc>
      </w:tr>
      <w:tr w:rsidR="00506083"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tcPr>
          <w:p w:rsidR="00506083" w:rsidRPr="002A3C6C" w:rsidRDefault="00506083" w:rsidP="00984951">
            <w:pPr>
              <w:jc w:val="center"/>
              <w:rPr>
                <w:rFonts w:asciiTheme="minorHAnsi" w:hAnsiTheme="minorHAnsi" w:cstheme="minorHAnsi"/>
                <w:sz w:val="20"/>
                <w:szCs w:val="20"/>
              </w:rPr>
            </w:pPr>
            <w:r w:rsidRPr="002A3C6C">
              <w:rPr>
                <w:rFonts w:asciiTheme="minorHAnsi" w:hAnsiTheme="minorHAnsi" w:cstheme="minorHAnsi"/>
                <w:color w:val="000000"/>
                <w:sz w:val="20"/>
                <w:szCs w:val="20"/>
              </w:rPr>
              <w:t>LT-84901</w:t>
            </w:r>
          </w:p>
        </w:tc>
        <w:tc>
          <w:tcPr>
            <w:tcW w:w="7766" w:type="dxa"/>
          </w:tcPr>
          <w:p w:rsidR="00506083" w:rsidRPr="002A3C6C" w:rsidRDefault="00506083" w:rsidP="00984951">
            <w:pPr>
              <w:rPr>
                <w:rFonts w:asciiTheme="minorHAnsi" w:hAnsiTheme="minorHAnsi" w:cstheme="minorHAnsi"/>
                <w:sz w:val="20"/>
                <w:szCs w:val="20"/>
              </w:rPr>
            </w:pPr>
            <w:r w:rsidRPr="002A3C6C">
              <w:rPr>
                <w:rFonts w:asciiTheme="minorHAnsi" w:hAnsiTheme="minorHAnsi" w:cstheme="minorHAnsi"/>
                <w:color w:val="000000"/>
                <w:sz w:val="20"/>
                <w:szCs w:val="20"/>
              </w:rPr>
              <w:t>Up to 360 Watt (Tier 2) Interior Fixture CFL replacing greater than 400 Watt lamp base case</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LT-79504</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16 Watt Interior Fixture (Dwelling Area) CFL replacing Incandescent Average Watts = 56.48</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LT-19423</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22 Watt Interior Fixture (Dwelling Area) CFL replacing Incandescent Average Watts = 77.66</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LT-68432</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23 Watt Interior Fixture (Dwelling Area) CFL replacing Incandescent Average Watts = 81.19</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LT-80989</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25 Watt Interior Fixture (Dwelling Area) CFL replacing Incandescent Average Watts = 88.25</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LT-97876</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26 Watt Interior Fixture (Dwelling Area) CFL replacing Incandescent Average Watts = 91.78</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LT-39075</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27 Watt Interior Fixture (Dwelling Area) CFL replacing Incandescent Average Watts = 95.31</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LT-81657</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30 Watt Interior Fixture (Dwelling Area) CFL replacing Incandescent Average Watts = 105.9</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LT-23209</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32 Watt Interior Fixture (Dwelling Area) CFL replacing Incandescent Average Watts = 112.96</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LT-59876</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36 Watt Interior Fixture (Dwelling Area) CFL replacing Incandescent Average Watts = 127.08</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LT-87943</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39 Watt Interior Fixture (Dwelling Area) CFL replacing Incandescent Average Watts = 137.67</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LT-49660</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40 Watt Interior Fixture (Dwelling Area) CFL replacing Incandescent Average Watts = 141.2</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LT-49593</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44 Watt Interior Fixture (Dwelling Area) CFL replacing Incandescent Average Watts = 155.32</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LT-67654</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46 Watt Interior Fixture (Dwelling Area) CFL replacing Incandescent Average Watts = 162.38</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LT-85876</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52 Watt Interior Fixture (Dwelling Area) CFL replacing Incandescent Average Watts = 183.56</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LT-19143</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54 Watt Interior Fixture (Dwelling Area) CFL replacing Incandescent Average Watts = 190.62</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LT-34841</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55 Watt Interior Fixture (Dwelling Area) CFL replacing Incandescent Average Watts = 194.15</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LT-38978</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64 Watt Interior Fixture (Dwelling Area) CFL replacing Incandescent Average Watts = 225.92</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LT-56473</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69 Watt Interior Fixture (Dwelling Area) CFL replacing Incandescent Average Watts = 243.57</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LT-78567</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72 Watt Interior Fixture (Dwelling Area) CFL replacing Incandescent Average Watts = 254.16</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LT-90776</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92 Watt Interior Fixture (Dwelling Area) CFL replacing Incandescent Average Watts = 324.76</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LT-39256</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16 Watt Interior Fixture (Common Area) CFL replacing Incandescent Average Watts = 56.48</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LT-93432</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22 Watt Interior Fixture (Common Area) CFL replacing Incandescent Average Watts = 77.66</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LT-50765</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23 Watt Interior Fixture (Common Area) CFL replacing Incandescent Average Watts = 81.19</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LT-40994</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25 Watt Interior Fixture (Common Area) CFL replacing Incandescent Average Watts = 88.25</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LT-89854</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26 Watt Interior Fixture (Common Area) CFL replacing Incandescent Average Watts = 91.78</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LT-24867</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27 Watt Interior Fixture (Common Area) CFL replacing Incandescent Average Watts = 95.31</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LT-73649</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30 Watt Interior Fixture (Common Area) CFL replacing Incandescent Average Watts = 105.9</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LT-59687</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32 Watt Interior Fixture (Common Area) CFL replacing Incandescent Average Watts = 112.96</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LT-45765</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36 Watt Interior Fixture (Common Area) CFL replacing Incandescent Average Watts = 127.08</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lastRenderedPageBreak/>
              <w:t>LT-79523</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39 Watt Interior Fixture (Common Area) CFL replacing Incandescent Average Watts = 137.67</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LT-35476</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40 Watt Interior Fixture (Common Area) CFL replacing Incandescent Average Watts = 141.2</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LT-62735</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44 Watt Interior Fixture (Common Area) CFL replacing Incandescent Average Watts = 155.32</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LT-50587</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46 Watt Interior Fixture (Common Area) CFL replacing Incandescent Average Watts = 162.38</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LT-78765</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52 Watt Interior Fixture (Common Area) CFL replacing Incandescent Average Watts = 183.56</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LT-90987</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54 Watt Interior Fixture (Common Area) CFL replacing Incandescent Average Watts = 190.62</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35"/>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LT-27559</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55 Watt Interior Fixture (Common Area) CFL replacing Incandescent Average Watts = 194.15</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LT-72843</w:t>
            </w:r>
          </w:p>
        </w:tc>
        <w:tc>
          <w:tcPr>
            <w:tcW w:w="7766" w:type="dxa"/>
            <w:vAlign w:val="bottom"/>
          </w:tcPr>
          <w:p w:rsidR="001C1CE4" w:rsidRDefault="001C1CE4" w:rsidP="00A23633">
            <w:pPr>
              <w:rPr>
                <w:rFonts w:ascii="Calibri" w:hAnsi="Calibri"/>
                <w:color w:val="000000"/>
                <w:sz w:val="20"/>
                <w:szCs w:val="20"/>
              </w:rPr>
            </w:pPr>
            <w:r>
              <w:rPr>
                <w:rFonts w:ascii="Calibri" w:hAnsi="Calibri"/>
                <w:color w:val="000000"/>
                <w:sz w:val="20"/>
                <w:szCs w:val="20"/>
              </w:rPr>
              <w:t xml:space="preserve">64 Watt Interior Fixture (Common Area) CFL replacing Incandescent Average Watts = </w:t>
            </w:r>
            <w:r w:rsidR="00A23633">
              <w:rPr>
                <w:rFonts w:ascii="Calibri" w:hAnsi="Calibri"/>
                <w:color w:val="000000"/>
                <w:sz w:val="20"/>
                <w:szCs w:val="20"/>
              </w:rPr>
              <w:t>225.92</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LT-45343</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69 Watt Interior Fixture (Common Area) CFL replacing Incandescent Average Watts = 243.57</w:t>
            </w:r>
          </w:p>
        </w:tc>
      </w:tr>
      <w:tr w:rsidR="001C1CE4" w:rsidRPr="0076695E" w:rsidTr="001C1CE4">
        <w:trPr>
          <w:cnfStyle w:val="000000010000" w:firstRow="0" w:lastRow="0" w:firstColumn="0" w:lastColumn="0" w:oddVBand="0" w:evenVBand="0" w:oddHBand="0" w:evenHBand="1"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LT-65832</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72 Watt Interior Fixture (Common Area) CFL replacing Incandescent Average Watts = 254.16</w:t>
            </w:r>
          </w:p>
        </w:tc>
      </w:tr>
      <w:tr w:rsidR="001C1CE4" w:rsidRPr="0076695E" w:rsidTr="001C1CE4">
        <w:trPr>
          <w:cnfStyle w:val="000000100000" w:firstRow="0" w:lastRow="0" w:firstColumn="0" w:lastColumn="0" w:oddVBand="0" w:evenVBand="0" w:oddHBand="1" w:evenHBand="0" w:firstRowFirstColumn="0" w:firstRowLastColumn="0" w:lastRowFirstColumn="0" w:lastRowLastColumn="0"/>
          <w:trHeight w:val="243"/>
          <w:jc w:val="center"/>
        </w:trPr>
        <w:tc>
          <w:tcPr>
            <w:tcW w:w="1466" w:type="dxa"/>
            <w:vAlign w:val="bottom"/>
          </w:tcPr>
          <w:p w:rsidR="001C1CE4" w:rsidRDefault="001C1CE4" w:rsidP="001C1CE4">
            <w:pPr>
              <w:jc w:val="center"/>
              <w:rPr>
                <w:rFonts w:ascii="Calibri" w:hAnsi="Calibri"/>
                <w:color w:val="000000"/>
                <w:sz w:val="20"/>
                <w:szCs w:val="20"/>
              </w:rPr>
            </w:pPr>
            <w:r>
              <w:rPr>
                <w:rFonts w:ascii="Calibri" w:hAnsi="Calibri"/>
                <w:color w:val="000000"/>
                <w:sz w:val="20"/>
                <w:szCs w:val="20"/>
              </w:rPr>
              <w:t>LT-87453</w:t>
            </w:r>
          </w:p>
        </w:tc>
        <w:tc>
          <w:tcPr>
            <w:tcW w:w="7766" w:type="dxa"/>
            <w:vAlign w:val="bottom"/>
          </w:tcPr>
          <w:p w:rsidR="001C1CE4" w:rsidRDefault="001C1CE4">
            <w:pPr>
              <w:rPr>
                <w:rFonts w:ascii="Calibri" w:hAnsi="Calibri"/>
                <w:color w:val="000000"/>
                <w:sz w:val="20"/>
                <w:szCs w:val="20"/>
              </w:rPr>
            </w:pPr>
            <w:r>
              <w:rPr>
                <w:rFonts w:ascii="Calibri" w:hAnsi="Calibri"/>
                <w:color w:val="000000"/>
                <w:sz w:val="20"/>
                <w:szCs w:val="20"/>
              </w:rPr>
              <w:t>92 Watt Interior Fixture (Common Area) CFL replacing Incandescent Average Watts = 324.76</w:t>
            </w:r>
          </w:p>
        </w:tc>
      </w:tr>
    </w:tbl>
    <w:p w:rsidR="00697868" w:rsidRDefault="00697868" w:rsidP="00697868">
      <w:pPr>
        <w:pStyle w:val="Reminders"/>
        <w:rPr>
          <w:rFonts w:asciiTheme="minorHAnsi" w:hAnsiTheme="minorHAnsi" w:cstheme="minorHAnsi"/>
          <w:sz w:val="22"/>
          <w:szCs w:val="22"/>
        </w:rPr>
      </w:pPr>
    </w:p>
    <w:p w:rsidR="00506083" w:rsidRPr="004648BC" w:rsidRDefault="00506083" w:rsidP="00506083">
      <w:pPr>
        <w:pStyle w:val="Reminders"/>
        <w:tabs>
          <w:tab w:val="num" w:pos="360"/>
        </w:tabs>
        <w:rPr>
          <w:rFonts w:ascii="Calibri" w:hAnsi="Calibri" w:cs="Calibri"/>
          <w:i w:val="0"/>
          <w:color w:val="auto"/>
          <w:sz w:val="22"/>
          <w:szCs w:val="22"/>
        </w:rPr>
      </w:pPr>
      <w:r w:rsidRPr="004648BC">
        <w:rPr>
          <w:rFonts w:ascii="Calibri" w:hAnsi="Calibri" w:cs="Calibri"/>
          <w:i w:val="0"/>
          <w:color w:val="auto"/>
          <w:sz w:val="22"/>
          <w:szCs w:val="22"/>
        </w:rPr>
        <w:t>The specific measures containing wattage ranges (i.e., &lt;100 Watt lamp base case) are assumed to have a metal halide base case while all other measures for multi-family housing (Common and Dwelling area) are assumed to have an incandescent base case. The residential multifamily and mobile home measures assume either an interior common area or indoor dwelling area.  Each measure described in this work paper applies to either nonresidential buildings or multifamily residential buildings.  Single family residential buildings are not included in this work paper.</w:t>
      </w:r>
    </w:p>
    <w:p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1322A5" w:rsidRDefault="001322A5" w:rsidP="001322A5">
      <w:pPr>
        <w:pStyle w:val="Reminders"/>
        <w:rPr>
          <w:rFonts w:ascii="Calibri" w:hAnsi="Calibri" w:cs="Calibri"/>
          <w:i w:val="0"/>
          <w:color w:val="auto"/>
          <w:sz w:val="22"/>
          <w:szCs w:val="22"/>
        </w:rPr>
      </w:pPr>
      <w:r w:rsidRPr="008B44A4">
        <w:rPr>
          <w:rFonts w:ascii="Calibri" w:hAnsi="Calibri" w:cs="Calibri"/>
          <w:i w:val="0"/>
          <w:color w:val="auto"/>
          <w:sz w:val="22"/>
          <w:szCs w:val="22"/>
        </w:rPr>
        <w:t>This work paper details the replacement of various low efficacy fixtures (i.e. &lt;100 Watt lamp base</w:t>
      </w:r>
      <w:r w:rsidR="00F15384">
        <w:rPr>
          <w:rFonts w:ascii="Calibri" w:hAnsi="Calibri" w:cs="Calibri"/>
          <w:i w:val="0"/>
          <w:color w:val="auto"/>
          <w:sz w:val="22"/>
          <w:szCs w:val="22"/>
        </w:rPr>
        <w:t xml:space="preserve"> case</w:t>
      </w:r>
      <w:r w:rsidRPr="008B44A4">
        <w:rPr>
          <w:rFonts w:ascii="Calibri" w:hAnsi="Calibri" w:cs="Calibri"/>
          <w:i w:val="0"/>
          <w:color w:val="auto"/>
          <w:sz w:val="22"/>
          <w:szCs w:val="22"/>
        </w:rPr>
        <w:t xml:space="preserve">) with compact fluorescent fixtures (i.e. 70 Watt Interior Fixture CFL) in various target sectors.  </w:t>
      </w:r>
    </w:p>
    <w:p w:rsidR="005A47F3" w:rsidRDefault="005A47F3" w:rsidP="001322A5">
      <w:pPr>
        <w:pStyle w:val="Reminders"/>
        <w:rPr>
          <w:rFonts w:ascii="Calibri" w:hAnsi="Calibri" w:cs="Calibri"/>
          <w:sz w:val="22"/>
          <w:szCs w:val="22"/>
        </w:rPr>
      </w:pPr>
    </w:p>
    <w:p w:rsidR="001322A5" w:rsidRPr="00CD010F" w:rsidRDefault="001322A5" w:rsidP="001322A5">
      <w:pPr>
        <w:pStyle w:val="Reminders"/>
        <w:rPr>
          <w:rFonts w:ascii="Calibri" w:hAnsi="Calibri" w:cs="Calibri"/>
          <w:sz w:val="22"/>
          <w:szCs w:val="22"/>
        </w:rPr>
      </w:pPr>
      <w:r>
        <w:rPr>
          <w:rFonts w:ascii="Calibri" w:hAnsi="Calibri" w:cs="Calibri"/>
          <w:i w:val="0"/>
          <w:color w:val="auto"/>
          <w:sz w:val="22"/>
          <w:szCs w:val="22"/>
        </w:rPr>
        <w:t xml:space="preserve">A replacement of Incandescent and/or HID lamps with CFLs that have similar lumen output results in </w:t>
      </w:r>
      <w:r w:rsidR="00CD010F">
        <w:rPr>
          <w:rFonts w:ascii="Calibri" w:hAnsi="Calibri" w:cs="Calibri"/>
          <w:i w:val="0"/>
          <w:color w:val="auto"/>
          <w:sz w:val="22"/>
          <w:szCs w:val="22"/>
        </w:rPr>
        <w:t xml:space="preserve">measurable </w:t>
      </w:r>
      <w:r>
        <w:rPr>
          <w:rFonts w:ascii="Calibri" w:hAnsi="Calibri" w:cs="Calibri"/>
          <w:i w:val="0"/>
          <w:color w:val="auto"/>
          <w:sz w:val="22"/>
          <w:szCs w:val="22"/>
        </w:rPr>
        <w:t xml:space="preserve">demand and energy savings.  </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CE28CF" w:rsidRPr="00CE28CF" w:rsidRDefault="00CE28CF" w:rsidP="00697868">
      <w:pPr>
        <w:pStyle w:val="Reminders"/>
        <w:tabs>
          <w:tab w:val="num" w:pos="360"/>
        </w:tabs>
        <w:rPr>
          <w:rFonts w:asciiTheme="minorHAnsi" w:hAnsiTheme="minorHAnsi" w:cstheme="minorHAnsi"/>
          <w:i w:val="0"/>
          <w:color w:val="auto"/>
          <w:sz w:val="18"/>
          <w:szCs w:val="22"/>
        </w:rPr>
      </w:pPr>
      <w:r w:rsidRPr="00CE28CF">
        <w:rPr>
          <w:rFonts w:asciiTheme="minorHAnsi" w:hAnsiTheme="minorHAnsi" w:cstheme="minorHAnsi"/>
          <w:i w:val="0"/>
          <w:color w:val="auto"/>
          <w:sz w:val="18"/>
          <w:szCs w:val="18"/>
        </w:rPr>
        <w:t>Note: See Appendix A for a comparison of the application types used by</w:t>
      </w:r>
      <w:r w:rsidR="00413CDB">
        <w:rPr>
          <w:rFonts w:asciiTheme="minorHAnsi" w:hAnsiTheme="minorHAnsi" w:cstheme="minorHAnsi"/>
          <w:i w:val="0"/>
          <w:color w:val="auto"/>
          <w:sz w:val="18"/>
          <w:szCs w:val="18"/>
        </w:rPr>
        <w:t xml:space="preserve"> </w:t>
      </w:r>
      <w:r w:rsidRPr="00CE28CF">
        <w:rPr>
          <w:rFonts w:asciiTheme="minorHAnsi" w:hAnsiTheme="minorHAnsi" w:cstheme="minorHAnsi"/>
          <w:i w:val="0"/>
          <w:color w:val="auto"/>
          <w:sz w:val="18"/>
          <w:szCs w:val="18"/>
        </w:rPr>
        <w:t xml:space="preserve">and incorporated </w:t>
      </w:r>
      <w:r w:rsidR="00413CDB" w:rsidRPr="00CE28CF">
        <w:rPr>
          <w:rFonts w:asciiTheme="minorHAnsi" w:hAnsiTheme="minorHAnsi" w:cstheme="minorHAnsi"/>
          <w:i w:val="0"/>
          <w:color w:val="auto"/>
          <w:sz w:val="18"/>
          <w:szCs w:val="18"/>
        </w:rPr>
        <w:t>into SCE</w:t>
      </w:r>
      <w:r w:rsidRPr="00CE28CF">
        <w:rPr>
          <w:rFonts w:asciiTheme="minorHAnsi" w:hAnsiTheme="minorHAnsi" w:cstheme="minorHAnsi"/>
          <w:i w:val="0"/>
          <w:color w:val="auto"/>
          <w:sz w:val="18"/>
          <w:szCs w:val="18"/>
        </w:rPr>
        <w:t xml:space="preserve"> systems versus the application types available in the newest revision of DEER 2014. Appendix A will serve as a translation between the outputs of </w:t>
      </w:r>
      <w:r w:rsidRPr="00CE28CF">
        <w:rPr>
          <w:rFonts w:asciiTheme="minorHAnsi" w:hAnsiTheme="minorHAnsi" w:cstheme="minorHAnsi"/>
          <w:i w:val="0"/>
          <w:color w:val="auto"/>
          <w:sz w:val="18"/>
          <w:szCs w:val="22"/>
        </w:rPr>
        <w:t xml:space="preserve">this workpaper and application types used by READi. </w:t>
      </w:r>
    </w:p>
    <w:p w:rsidR="00ED1DA9" w:rsidRDefault="00ED1DA9" w:rsidP="00506083">
      <w:pPr>
        <w:pStyle w:val="Reminders"/>
        <w:tabs>
          <w:tab w:val="num" w:pos="360"/>
        </w:tabs>
        <w:rPr>
          <w:rFonts w:ascii="Calibri" w:hAnsi="Calibri" w:cs="Calibri"/>
          <w:i w:val="0"/>
          <w:color w:val="auto"/>
          <w:sz w:val="22"/>
          <w:szCs w:val="22"/>
        </w:rPr>
      </w:pPr>
    </w:p>
    <w:p w:rsidR="008D725E" w:rsidRDefault="00506083" w:rsidP="00506083">
      <w:pPr>
        <w:pStyle w:val="Reminders"/>
        <w:tabs>
          <w:tab w:val="num" w:pos="360"/>
        </w:tabs>
        <w:rPr>
          <w:rFonts w:ascii="Calibri" w:hAnsi="Calibri" w:cs="Calibri"/>
          <w:i w:val="0"/>
          <w:color w:val="auto"/>
          <w:sz w:val="22"/>
          <w:szCs w:val="22"/>
        </w:rPr>
      </w:pPr>
      <w:r w:rsidRPr="008B44A4">
        <w:rPr>
          <w:rFonts w:ascii="Calibri" w:hAnsi="Calibri" w:cs="Calibri"/>
          <w:i w:val="0"/>
          <w:color w:val="auto"/>
          <w:sz w:val="22"/>
          <w:szCs w:val="22"/>
        </w:rPr>
        <w:t xml:space="preserve">The </w:t>
      </w:r>
      <w:r>
        <w:rPr>
          <w:rFonts w:ascii="Calibri" w:hAnsi="Calibri" w:cs="Calibri"/>
          <w:i w:val="0"/>
          <w:color w:val="auto"/>
          <w:sz w:val="22"/>
          <w:szCs w:val="22"/>
        </w:rPr>
        <w:t xml:space="preserve">delivery </w:t>
      </w:r>
      <w:r w:rsidR="008D725E">
        <w:rPr>
          <w:rFonts w:ascii="Calibri" w:hAnsi="Calibri" w:cs="Calibri"/>
          <w:i w:val="0"/>
          <w:color w:val="auto"/>
          <w:sz w:val="22"/>
          <w:szCs w:val="22"/>
        </w:rPr>
        <w:t>methods are Financial Support -</w:t>
      </w:r>
      <w:r w:rsidR="005A47F3">
        <w:rPr>
          <w:rFonts w:ascii="Calibri" w:hAnsi="Calibri" w:cs="Calibri"/>
          <w:i w:val="0"/>
          <w:color w:val="auto"/>
          <w:sz w:val="22"/>
          <w:szCs w:val="22"/>
        </w:rPr>
        <w:t xml:space="preserve"> </w:t>
      </w:r>
      <w:r>
        <w:rPr>
          <w:rFonts w:ascii="Calibri" w:hAnsi="Calibri" w:cs="Calibri"/>
          <w:i w:val="0"/>
          <w:color w:val="auto"/>
          <w:sz w:val="22"/>
          <w:szCs w:val="22"/>
        </w:rPr>
        <w:t>Down-Stream Incentive</w:t>
      </w:r>
      <w:r w:rsidRPr="008B44A4">
        <w:rPr>
          <w:rFonts w:ascii="Calibri" w:hAnsi="Calibri" w:cs="Calibri"/>
          <w:i w:val="0"/>
          <w:color w:val="auto"/>
          <w:sz w:val="22"/>
          <w:szCs w:val="22"/>
        </w:rPr>
        <w:t xml:space="preserve"> – Deemed</w:t>
      </w:r>
      <w:r w:rsidR="005A47F3">
        <w:rPr>
          <w:rFonts w:ascii="Calibri" w:hAnsi="Calibri" w:cs="Calibri"/>
          <w:i w:val="0"/>
          <w:color w:val="auto"/>
          <w:sz w:val="22"/>
          <w:szCs w:val="22"/>
        </w:rPr>
        <w:t xml:space="preserve"> and Financial Support </w:t>
      </w:r>
      <w:r w:rsidR="008D725E">
        <w:rPr>
          <w:rFonts w:ascii="Calibri" w:hAnsi="Calibri" w:cs="Calibri"/>
          <w:i w:val="0"/>
          <w:color w:val="auto"/>
          <w:sz w:val="22"/>
          <w:szCs w:val="22"/>
        </w:rPr>
        <w:t>-</w:t>
      </w:r>
      <w:r w:rsidR="005A47F3">
        <w:rPr>
          <w:rFonts w:ascii="Calibri" w:hAnsi="Calibri" w:cs="Calibri"/>
          <w:i w:val="0"/>
          <w:color w:val="auto"/>
          <w:sz w:val="22"/>
          <w:szCs w:val="22"/>
        </w:rPr>
        <w:t xml:space="preserve"> </w:t>
      </w:r>
      <w:r>
        <w:rPr>
          <w:rFonts w:ascii="Calibri" w:hAnsi="Calibri" w:cs="Calibri"/>
          <w:i w:val="0"/>
          <w:color w:val="auto"/>
          <w:sz w:val="22"/>
          <w:szCs w:val="22"/>
        </w:rPr>
        <w:t>Direct Install</w:t>
      </w:r>
      <w:r w:rsidRPr="008B44A4">
        <w:rPr>
          <w:rFonts w:ascii="Calibri" w:hAnsi="Calibri" w:cs="Calibri"/>
          <w:i w:val="0"/>
          <w:color w:val="auto"/>
          <w:sz w:val="22"/>
          <w:szCs w:val="22"/>
        </w:rPr>
        <w:t xml:space="preserve"> for both residential and nonresidential applications</w:t>
      </w:r>
      <w:r>
        <w:rPr>
          <w:rFonts w:ascii="Calibri" w:hAnsi="Calibri" w:cs="Calibri"/>
          <w:i w:val="0"/>
          <w:color w:val="auto"/>
          <w:sz w:val="22"/>
          <w:szCs w:val="22"/>
        </w:rPr>
        <w:t xml:space="preserve">. </w:t>
      </w:r>
    </w:p>
    <w:p w:rsidR="00ED1DA9" w:rsidRDefault="00ED1DA9" w:rsidP="00506083">
      <w:pPr>
        <w:pStyle w:val="Reminders"/>
        <w:tabs>
          <w:tab w:val="num" w:pos="360"/>
        </w:tabs>
        <w:rPr>
          <w:rFonts w:ascii="Calibri" w:hAnsi="Calibri" w:cs="Calibri"/>
          <w:i w:val="0"/>
          <w:color w:val="auto"/>
          <w:sz w:val="22"/>
          <w:szCs w:val="22"/>
        </w:rPr>
      </w:pPr>
    </w:p>
    <w:p w:rsidR="00506083" w:rsidRDefault="008D725E" w:rsidP="00506083">
      <w:pPr>
        <w:pStyle w:val="Reminders"/>
        <w:tabs>
          <w:tab w:val="num" w:pos="360"/>
        </w:tabs>
        <w:rPr>
          <w:rFonts w:ascii="Calibri" w:hAnsi="Calibri" w:cs="Calibri"/>
          <w:i w:val="0"/>
          <w:color w:val="auto"/>
          <w:sz w:val="22"/>
          <w:szCs w:val="22"/>
        </w:rPr>
      </w:pPr>
      <w:r>
        <w:rPr>
          <w:rFonts w:ascii="Calibri" w:hAnsi="Calibri" w:cs="Calibri"/>
          <w:i w:val="0"/>
          <w:color w:val="auto"/>
          <w:sz w:val="22"/>
          <w:szCs w:val="22"/>
        </w:rPr>
        <w:t>Midstream Programs – Mid-Stream Incentive is for Nonresidential measures only.</w:t>
      </w:r>
    </w:p>
    <w:p w:rsidR="00ED1DA9" w:rsidRDefault="00ED1DA9" w:rsidP="00506083">
      <w:pPr>
        <w:pStyle w:val="Reminders"/>
        <w:tabs>
          <w:tab w:val="num" w:pos="360"/>
        </w:tabs>
        <w:rPr>
          <w:rFonts w:ascii="Calibri" w:hAnsi="Calibri" w:cs="Calibri"/>
          <w:i w:val="0"/>
          <w:color w:val="auto"/>
          <w:sz w:val="22"/>
          <w:szCs w:val="22"/>
        </w:rPr>
      </w:pPr>
    </w:p>
    <w:p w:rsidR="00506083" w:rsidRDefault="00506083" w:rsidP="00506083">
      <w:pPr>
        <w:pStyle w:val="Reminders"/>
        <w:tabs>
          <w:tab w:val="num" w:pos="360"/>
        </w:tabs>
        <w:rPr>
          <w:rFonts w:ascii="Calibri" w:hAnsi="Calibri" w:cs="Calibri"/>
          <w:i w:val="0"/>
          <w:color w:val="auto"/>
          <w:sz w:val="22"/>
          <w:szCs w:val="22"/>
        </w:rPr>
      </w:pPr>
      <w:r w:rsidRPr="008B44A4">
        <w:rPr>
          <w:rFonts w:ascii="Calibri" w:hAnsi="Calibri" w:cs="Calibri"/>
          <w:i w:val="0"/>
          <w:color w:val="auto"/>
          <w:sz w:val="22"/>
          <w:szCs w:val="22"/>
        </w:rPr>
        <w:t>The measure install type is RET for direct install and ROB for the other delivery methods.</w:t>
      </w:r>
    </w:p>
    <w:p w:rsidR="00E16609" w:rsidRDefault="00403ACE" w:rsidP="00824F1C">
      <w:pPr>
        <w:pStyle w:val="Heading2"/>
        <w:rPr>
          <w:rFonts w:asciiTheme="minorHAnsi" w:hAnsiTheme="minorHAnsi" w:cstheme="minorHAnsi"/>
        </w:rPr>
      </w:pPr>
      <w:bookmarkStart w:id="9" w:name="_Toc214003084"/>
      <w:r w:rsidRPr="00697868">
        <w:rPr>
          <w:rFonts w:asciiTheme="minorHAnsi" w:hAnsiTheme="minorHAnsi" w:cstheme="minorHAnsi"/>
        </w:rPr>
        <w:t>1.</w:t>
      </w:r>
      <w:r>
        <w:rPr>
          <w:rFonts w:asciiTheme="minorHAnsi" w:hAnsiTheme="minorHAnsi" w:cstheme="minorHAnsi"/>
        </w:rPr>
        <w:t>4</w:t>
      </w:r>
      <w:r w:rsidRPr="00697868">
        <w:rPr>
          <w:rFonts w:asciiTheme="minorHAnsi" w:hAnsiTheme="minorHAnsi" w:cstheme="minorHAnsi"/>
        </w:rPr>
        <w:t xml:space="preserve"> MEASURE</w:t>
      </w:r>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9"/>
    </w:p>
    <w:p w:rsidR="00F06CCF" w:rsidRPr="00F06CCF" w:rsidRDefault="00F06CCF" w:rsidP="00F06CCF">
      <w:pPr>
        <w:pStyle w:val="Heading3"/>
        <w:rPr>
          <w:rFonts w:asciiTheme="minorHAnsi" w:hAnsiTheme="minorHAnsi"/>
        </w:rPr>
      </w:pPr>
      <w:r w:rsidRPr="001E1612">
        <w:rPr>
          <w:rFonts w:asciiTheme="minorHAnsi" w:hAnsiTheme="minorHAnsi"/>
        </w:rPr>
        <w:t>1.4.1 DEER Measure and Base Case Analysis</w:t>
      </w:r>
    </w:p>
    <w:p w:rsidR="005A47F3" w:rsidRPr="004648BC" w:rsidRDefault="005A47F3" w:rsidP="005A47F3">
      <w:pPr>
        <w:rPr>
          <w:rFonts w:ascii="Calibri" w:hAnsi="Calibri" w:cs="Calibri"/>
          <w:sz w:val="22"/>
          <w:szCs w:val="22"/>
        </w:rPr>
      </w:pPr>
      <w:r w:rsidRPr="004648BC">
        <w:rPr>
          <w:rFonts w:ascii="Calibri" w:hAnsi="Calibri" w:cs="Calibri"/>
          <w:sz w:val="22"/>
          <w:szCs w:val="22"/>
        </w:rPr>
        <w:t>The specific measures using wattage ranges (&lt;100 Watt lamp base case, for example) for the base cases are not included in the Database for Energy Efficient Resources (DEER</w:t>
      </w:r>
      <w:r w:rsidRPr="004648BC">
        <w:rPr>
          <w:rFonts w:ascii="Calibri" w:hAnsi="Calibri" w:cs="Calibri"/>
          <w:sz w:val="22"/>
          <w:szCs w:val="22"/>
        </w:rPr>
        <w:fldChar w:fldCharType="begin"/>
      </w:r>
      <w:r w:rsidRPr="004648BC">
        <w:rPr>
          <w:rFonts w:ascii="Calibri" w:hAnsi="Calibri" w:cs="Calibri"/>
          <w:sz w:val="22"/>
          <w:szCs w:val="22"/>
        </w:rPr>
        <w:instrText xml:space="preserve"> XE "DEER" </w:instrText>
      </w:r>
      <w:r w:rsidRPr="004648BC">
        <w:rPr>
          <w:rFonts w:ascii="Calibri" w:hAnsi="Calibri" w:cs="Calibri"/>
          <w:sz w:val="22"/>
          <w:szCs w:val="22"/>
        </w:rPr>
        <w:fldChar w:fldCharType="end"/>
      </w:r>
      <w:r w:rsidRPr="004648BC">
        <w:rPr>
          <w:rFonts w:ascii="Calibri" w:hAnsi="Calibri" w:cs="Calibri"/>
          <w:sz w:val="22"/>
          <w:szCs w:val="22"/>
        </w:rPr>
        <w:t xml:space="preserve">) Version 2011.4.01 [49], although the database contains similar interior lighting retrofit measures (Com-Lighting </w:t>
      </w:r>
      <w:r w:rsidRPr="004648BC">
        <w:rPr>
          <w:rFonts w:ascii="Calibri" w:hAnsi="Calibri" w:cs="Calibri"/>
          <w:sz w:val="22"/>
          <w:szCs w:val="22"/>
        </w:rPr>
        <w:lastRenderedPageBreak/>
        <w:t>InGen_CFLratio0353_CFLfixt-28W). The measure ID given is for a 70 Watt CFL; however, DEER uses an incandescent base case, while this work paper assumes a metal halide base case. Also, the wattage levels included in this work paper exceed what DEER provides.</w:t>
      </w:r>
    </w:p>
    <w:p w:rsidR="005A47F3" w:rsidRPr="004648BC" w:rsidRDefault="005A47F3" w:rsidP="005A47F3">
      <w:pPr>
        <w:rPr>
          <w:rFonts w:ascii="Calibri" w:hAnsi="Calibri" w:cs="Calibri"/>
          <w:sz w:val="22"/>
          <w:szCs w:val="22"/>
        </w:rPr>
      </w:pPr>
    </w:p>
    <w:p w:rsidR="005A47F3" w:rsidRPr="004648BC" w:rsidRDefault="005A47F3" w:rsidP="005A47F3">
      <w:pPr>
        <w:rPr>
          <w:rFonts w:ascii="Calibri" w:hAnsi="Calibri" w:cs="Calibri"/>
          <w:sz w:val="22"/>
          <w:szCs w:val="22"/>
        </w:rPr>
      </w:pPr>
      <w:r w:rsidRPr="004648BC">
        <w:rPr>
          <w:rFonts w:ascii="Calibri" w:hAnsi="Calibri" w:cs="Calibri"/>
          <w:sz w:val="22"/>
          <w:szCs w:val="22"/>
        </w:rPr>
        <w:t>For measures not using ranges, DEER does include similar measures in the Database for Energy Efficient Resources (DEER</w:t>
      </w:r>
      <w:r w:rsidRPr="004648BC">
        <w:rPr>
          <w:rFonts w:ascii="Calibri" w:hAnsi="Calibri" w:cs="Calibri"/>
          <w:sz w:val="22"/>
          <w:szCs w:val="22"/>
        </w:rPr>
        <w:fldChar w:fldCharType="begin"/>
      </w:r>
      <w:r w:rsidRPr="004648BC">
        <w:rPr>
          <w:rFonts w:ascii="Calibri" w:hAnsi="Calibri" w:cs="Calibri"/>
          <w:sz w:val="22"/>
          <w:szCs w:val="22"/>
        </w:rPr>
        <w:instrText xml:space="preserve"> XE "DEER" </w:instrText>
      </w:r>
      <w:r w:rsidRPr="004648BC">
        <w:rPr>
          <w:rFonts w:ascii="Calibri" w:hAnsi="Calibri" w:cs="Calibri"/>
          <w:sz w:val="22"/>
          <w:szCs w:val="22"/>
        </w:rPr>
        <w:fldChar w:fldCharType="end"/>
      </w:r>
      <w:r w:rsidRPr="004648BC">
        <w:rPr>
          <w:rFonts w:ascii="Calibri" w:hAnsi="Calibri" w:cs="Calibri"/>
          <w:sz w:val="22"/>
          <w:szCs w:val="22"/>
        </w:rPr>
        <w:t>) Version 2011.4.01 (Com-Lighting-InGen_CFLratio0353_CFLfixt-28W). This work paper utilizes the standard DEER operating hours to model residential multifamily dwelling areas, but uses other DEER building types to approximate the operating hours for residential multifamily common areas.</w:t>
      </w:r>
    </w:p>
    <w:p w:rsidR="009E1CDE" w:rsidRDefault="009E1CDE" w:rsidP="00E16609">
      <w:pPr>
        <w:rPr>
          <w:rFonts w:asciiTheme="minorHAnsi" w:hAnsiTheme="minorHAnsi" w:cstheme="minorHAnsi"/>
          <w:sz w:val="22"/>
          <w:szCs w:val="22"/>
        </w:rPr>
      </w:pPr>
    </w:p>
    <w:p w:rsidR="005A47F3" w:rsidRDefault="005A47F3" w:rsidP="00E16609">
      <w:pPr>
        <w:rPr>
          <w:rFonts w:asciiTheme="minorHAnsi" w:hAnsiTheme="minorHAnsi" w:cstheme="minorHAnsi"/>
          <w:sz w:val="22"/>
          <w:szCs w:val="22"/>
        </w:rPr>
      </w:pPr>
      <w:r>
        <w:rPr>
          <w:rFonts w:asciiTheme="minorHAnsi" w:hAnsiTheme="minorHAnsi" w:cstheme="minorHAnsi"/>
          <w:sz w:val="22"/>
          <w:szCs w:val="22"/>
        </w:rPr>
        <w:t>The differences from DEER are summarized in Table 2 below.</w:t>
      </w:r>
    </w:p>
    <w:p w:rsidR="005A47F3" w:rsidRPr="00697868" w:rsidRDefault="005A47F3" w:rsidP="00E16609">
      <w:pP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AF6312">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5513" w:type="dxa"/>
            <w:vAlign w:val="center"/>
          </w:tcPr>
          <w:p w:rsidR="0046286E" w:rsidRPr="00A72354" w:rsidRDefault="00563A9F" w:rsidP="0088603B">
            <w:pPr>
              <w:jc w:val="center"/>
              <w:rPr>
                <w:rFonts w:asciiTheme="minorHAnsi" w:hAnsiTheme="minorHAnsi" w:cstheme="minorHAnsi"/>
                <w:b/>
                <w:sz w:val="20"/>
                <w:szCs w:val="20"/>
              </w:rPr>
            </w:pPr>
            <w:r w:rsidRPr="00A72354">
              <w:rPr>
                <w:rFonts w:asciiTheme="minorHAnsi" w:hAnsiTheme="minorHAnsi" w:cstheme="minorHAnsi"/>
                <w:sz w:val="20"/>
                <w:szCs w:val="20"/>
              </w:rPr>
              <w:t>Yes</w:t>
            </w:r>
          </w:p>
        </w:tc>
      </w:tr>
      <w:tr w:rsidR="00447CE5"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447CE5" w:rsidRPr="00A72354" w:rsidRDefault="00563A9F" w:rsidP="00E81F3E">
            <w:pPr>
              <w:jc w:val="center"/>
              <w:rPr>
                <w:rFonts w:asciiTheme="minorHAnsi" w:hAnsiTheme="minorHAnsi" w:cstheme="minorHAnsi"/>
                <w:sz w:val="20"/>
                <w:szCs w:val="20"/>
              </w:rPr>
            </w:pPr>
            <w:r w:rsidRPr="00A72354">
              <w:rPr>
                <w:rFonts w:asciiTheme="minorHAnsi" w:hAnsiTheme="minorHAnsi" w:cstheme="minorHAnsi"/>
                <w:sz w:val="20"/>
                <w:szCs w:val="20"/>
              </w:rPr>
              <w:t>Yes</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E81F3E" w:rsidRPr="00A72354" w:rsidRDefault="00563A9F" w:rsidP="00E81F3E">
            <w:pPr>
              <w:jc w:val="center"/>
              <w:rPr>
                <w:rFonts w:asciiTheme="minorHAnsi" w:hAnsiTheme="minorHAnsi" w:cstheme="minorHAnsi"/>
                <w:sz w:val="20"/>
                <w:szCs w:val="20"/>
              </w:rPr>
            </w:pPr>
            <w:r w:rsidRPr="00A72354">
              <w:rPr>
                <w:rFonts w:asciiTheme="minorHAnsi" w:hAnsiTheme="minorHAnsi" w:cstheme="minorHAnsi"/>
                <w:sz w:val="20"/>
                <w:szCs w:val="20"/>
              </w:rPr>
              <w:t>Yes</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E81F3E" w:rsidRPr="00697868" w:rsidRDefault="00563A9F" w:rsidP="00E81F3E">
            <w:pPr>
              <w:jc w:val="center"/>
              <w:rPr>
                <w:rFonts w:asciiTheme="minorHAnsi" w:hAnsiTheme="minorHAnsi" w:cstheme="minorHAnsi"/>
                <w:color w:val="FF0000"/>
                <w:sz w:val="20"/>
                <w:szCs w:val="20"/>
              </w:rPr>
            </w:pPr>
            <w:r w:rsidRPr="004648BC">
              <w:rPr>
                <w:rFonts w:ascii="Calibri" w:hAnsi="Calibri" w:cs="Calibri"/>
                <w:sz w:val="20"/>
                <w:szCs w:val="20"/>
              </w:rPr>
              <w:t>For the multifamily measures this workpaper assumes different operating hours for common areas. For the nonresidential measures this workpaper assumes a metal halide base case. These base cases are more conservative than the DEER WRR</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E81F3E" w:rsidRPr="00697868" w:rsidRDefault="00563A9F" w:rsidP="00D36798">
            <w:pPr>
              <w:jc w:val="center"/>
              <w:rPr>
                <w:rFonts w:asciiTheme="minorHAnsi" w:hAnsiTheme="minorHAnsi" w:cstheme="minorHAnsi"/>
                <w:sz w:val="20"/>
                <w:szCs w:val="20"/>
              </w:rPr>
            </w:pPr>
            <w:r w:rsidRPr="004648BC">
              <w:rPr>
                <w:rFonts w:ascii="Calibri" w:hAnsi="Calibri" w:cs="Calibri"/>
                <w:sz w:val="20"/>
                <w:szCs w:val="20"/>
              </w:rPr>
              <w:t>DEER 2011</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E81F3E" w:rsidRPr="00697868" w:rsidRDefault="00563A9F" w:rsidP="00E81F3E">
            <w:pPr>
              <w:jc w:val="center"/>
              <w:rPr>
                <w:rFonts w:asciiTheme="minorHAnsi" w:hAnsiTheme="minorHAnsi" w:cstheme="minorHAnsi"/>
                <w:sz w:val="20"/>
                <w:szCs w:val="20"/>
              </w:rPr>
            </w:pPr>
            <w:r w:rsidRPr="004648BC">
              <w:rPr>
                <w:rFonts w:ascii="Calibri" w:hAnsi="Calibri" w:cs="Calibri"/>
                <w:sz w:val="20"/>
                <w:szCs w:val="20"/>
              </w:rPr>
              <w:t>Com-Lighting-InGen_CFLratio0353_CFLfixt-28W</w:t>
            </w:r>
          </w:p>
        </w:tc>
      </w:tr>
    </w:tbl>
    <w:p w:rsidR="00563A9F" w:rsidRDefault="00563A9F" w:rsidP="00563A9F">
      <w:pPr>
        <w:rPr>
          <w:rFonts w:ascii="Calibri" w:hAnsi="Calibri" w:cs="Calibri"/>
          <w:sz w:val="22"/>
          <w:szCs w:val="22"/>
        </w:rPr>
      </w:pPr>
      <w:bookmarkStart w:id="10" w:name="_Toc214003087"/>
    </w:p>
    <w:p w:rsidR="000968C6" w:rsidRDefault="000968C6" w:rsidP="000968C6">
      <w:pPr>
        <w:pStyle w:val="Reminders"/>
        <w:rPr>
          <w:rFonts w:asciiTheme="minorHAnsi" w:hAnsiTheme="minorHAnsi" w:cstheme="minorHAnsi"/>
          <w:sz w:val="22"/>
          <w:szCs w:val="22"/>
        </w:rPr>
      </w:pPr>
    </w:p>
    <w:p w:rsidR="000968C6" w:rsidRPr="005A47F3"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AF6312" w:rsidRPr="00697868">
        <w:rPr>
          <w:rFonts w:asciiTheme="minorHAnsi" w:hAnsiTheme="minorHAnsi" w:cstheme="minorHAnsi"/>
          <w:sz w:val="22"/>
          <w:szCs w:val="22"/>
        </w:rPr>
        <w:t xml:space="preserve">Table </w:t>
      </w:r>
      <w:r w:rsidR="00AF6312">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0968C6" w:rsidRPr="00697868" w:rsidRDefault="000968C6" w:rsidP="000968C6">
      <w:pPr>
        <w:pStyle w:val="Caption"/>
        <w:jc w:val="center"/>
        <w:rPr>
          <w:rFonts w:asciiTheme="minorHAnsi" w:hAnsiTheme="minorHAnsi" w:cstheme="minorHAnsi"/>
          <w:sz w:val="22"/>
          <w:szCs w:val="22"/>
        </w:rPr>
      </w:pPr>
      <w:bookmarkStart w:id="11"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AF6312">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1"/>
      <w:r w:rsidRPr="00697868">
        <w:rPr>
          <w:rFonts w:asciiTheme="minorHAnsi" w:hAnsiTheme="minorHAnsi" w:cstheme="minorHAnsi"/>
          <w:sz w:val="22"/>
          <w:szCs w:val="22"/>
        </w:rPr>
        <w:t xml:space="preserve"> Net-to-Gross Ratio</w:t>
      </w:r>
    </w:p>
    <w:tbl>
      <w:tblPr>
        <w:tblStyle w:val="TableContemporary"/>
        <w:tblW w:w="5000" w:type="pct"/>
        <w:jc w:val="center"/>
        <w:tblInd w:w="1186" w:type="dxa"/>
        <w:tblLook w:val="01E0" w:firstRow="1" w:lastRow="1" w:firstColumn="1" w:lastColumn="1" w:noHBand="0" w:noVBand="0"/>
      </w:tblPr>
      <w:tblGrid>
        <w:gridCol w:w="1353"/>
        <w:gridCol w:w="4346"/>
        <w:gridCol w:w="843"/>
        <w:gridCol w:w="1081"/>
        <w:gridCol w:w="1279"/>
        <w:gridCol w:w="674"/>
      </w:tblGrid>
      <w:tr w:rsidR="00563A9F" w:rsidRPr="000F130A" w:rsidTr="00984951">
        <w:trPr>
          <w:cnfStyle w:val="100000000000" w:firstRow="1" w:lastRow="0" w:firstColumn="0" w:lastColumn="0" w:oddVBand="0" w:evenVBand="0" w:oddHBand="0" w:evenHBand="0" w:firstRowFirstColumn="0" w:firstRowLastColumn="0" w:lastRowFirstColumn="0" w:lastRowLastColumn="0"/>
          <w:jc w:val="center"/>
        </w:trPr>
        <w:tc>
          <w:tcPr>
            <w:tcW w:w="706"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NTGR_ID*</w:t>
            </w:r>
          </w:p>
        </w:tc>
        <w:tc>
          <w:tcPr>
            <w:tcW w:w="2269"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Description*</w:t>
            </w:r>
          </w:p>
        </w:tc>
        <w:tc>
          <w:tcPr>
            <w:tcW w:w="440"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Sector*</w:t>
            </w:r>
          </w:p>
        </w:tc>
        <w:tc>
          <w:tcPr>
            <w:tcW w:w="564"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BldgType*</w:t>
            </w:r>
          </w:p>
        </w:tc>
        <w:tc>
          <w:tcPr>
            <w:tcW w:w="668" w:type="pct"/>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ProgDelivID</w:t>
            </w:r>
          </w:p>
        </w:tc>
        <w:tc>
          <w:tcPr>
            <w:tcW w:w="352"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NTG*</w:t>
            </w:r>
          </w:p>
        </w:tc>
      </w:tr>
      <w:tr w:rsidR="00563A9F" w:rsidRPr="000F130A" w:rsidTr="00984951">
        <w:trPr>
          <w:cnfStyle w:val="000000100000" w:firstRow="0" w:lastRow="0" w:firstColumn="0" w:lastColumn="0" w:oddVBand="0" w:evenVBand="0" w:oddHBand="1" w:evenHBand="0" w:firstRowFirstColumn="0" w:firstRowLastColumn="0" w:lastRowFirstColumn="0" w:lastRowLastColumn="0"/>
          <w:jc w:val="center"/>
        </w:trPr>
        <w:tc>
          <w:tcPr>
            <w:tcW w:w="706"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NonRes-sAll-mCFL-dir</w:t>
            </w:r>
          </w:p>
        </w:tc>
        <w:tc>
          <w:tcPr>
            <w:tcW w:w="2269"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CFLs</w:t>
            </w:r>
          </w:p>
        </w:tc>
        <w:tc>
          <w:tcPr>
            <w:tcW w:w="440"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Com</w:t>
            </w:r>
          </w:p>
        </w:tc>
        <w:tc>
          <w:tcPr>
            <w:tcW w:w="564"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Any</w:t>
            </w:r>
          </w:p>
        </w:tc>
        <w:tc>
          <w:tcPr>
            <w:tcW w:w="668" w:type="pct"/>
            <w:vAlign w:val="center"/>
          </w:tcPr>
          <w:p w:rsidR="00563A9F" w:rsidRPr="004648BC" w:rsidRDefault="00563A9F" w:rsidP="00984951">
            <w:pPr>
              <w:jc w:val="center"/>
              <w:rPr>
                <w:rFonts w:asciiTheme="minorHAnsi" w:hAnsiTheme="minorHAnsi" w:cstheme="minorHAnsi"/>
                <w:sz w:val="20"/>
                <w:szCs w:val="20"/>
              </w:rPr>
            </w:pPr>
            <w:r w:rsidRPr="004648BC">
              <w:rPr>
                <w:rFonts w:asciiTheme="minorHAnsi" w:hAnsiTheme="minorHAnsi" w:cstheme="minorHAnsi"/>
                <w:sz w:val="20"/>
                <w:szCs w:val="20"/>
              </w:rPr>
              <w:t>DirInstall</w:t>
            </w:r>
          </w:p>
        </w:tc>
        <w:tc>
          <w:tcPr>
            <w:tcW w:w="352"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0.8</w:t>
            </w:r>
          </w:p>
        </w:tc>
      </w:tr>
      <w:tr w:rsidR="00376255" w:rsidRPr="000F130A" w:rsidTr="00984951">
        <w:trPr>
          <w:cnfStyle w:val="000000010000" w:firstRow="0" w:lastRow="0" w:firstColumn="0" w:lastColumn="0" w:oddVBand="0" w:evenVBand="0" w:oddHBand="0" w:evenHBand="1" w:firstRowFirstColumn="0" w:firstRowLastColumn="0" w:lastRowFirstColumn="0" w:lastRowLastColumn="0"/>
          <w:jc w:val="center"/>
        </w:trPr>
        <w:tc>
          <w:tcPr>
            <w:tcW w:w="706" w:type="pct"/>
            <w:vAlign w:val="center"/>
          </w:tcPr>
          <w:p w:rsidR="00376255" w:rsidRDefault="00376255">
            <w:pPr>
              <w:jc w:val="center"/>
              <w:rPr>
                <w:rFonts w:asciiTheme="minorHAnsi" w:hAnsiTheme="minorHAnsi" w:cstheme="minorHAnsi"/>
                <w:sz w:val="20"/>
                <w:szCs w:val="20"/>
              </w:rPr>
            </w:pPr>
            <w:proofErr w:type="spellStart"/>
            <w:r>
              <w:rPr>
                <w:rFonts w:asciiTheme="minorHAnsi" w:hAnsiTheme="minorHAnsi" w:cstheme="minorHAnsi"/>
                <w:sz w:val="20"/>
                <w:szCs w:val="20"/>
              </w:rPr>
              <w:t>Ind</w:t>
            </w:r>
            <w:proofErr w:type="spellEnd"/>
            <w:r>
              <w:rPr>
                <w:rFonts w:asciiTheme="minorHAnsi" w:hAnsiTheme="minorHAnsi" w:cstheme="minorHAnsi"/>
                <w:sz w:val="20"/>
                <w:szCs w:val="20"/>
              </w:rPr>
              <w:t>-Default-HTG-di</w:t>
            </w:r>
          </w:p>
        </w:tc>
        <w:tc>
          <w:tcPr>
            <w:tcW w:w="2269" w:type="pct"/>
            <w:vAlign w:val="center"/>
          </w:tcPr>
          <w:p w:rsidR="00376255" w:rsidRDefault="00376255">
            <w:pPr>
              <w:jc w:val="center"/>
              <w:rPr>
                <w:rFonts w:asciiTheme="minorHAnsi" w:hAnsiTheme="minorHAnsi" w:cstheme="minorHAnsi"/>
                <w:sz w:val="20"/>
                <w:szCs w:val="20"/>
              </w:rPr>
            </w:pPr>
            <w:r>
              <w:rPr>
                <w:rFonts w:asciiTheme="minorHAnsi" w:hAnsiTheme="minorHAnsi" w:cstheme="minorHAnsi"/>
                <w:sz w:val="20"/>
                <w:szCs w:val="20"/>
              </w:rPr>
              <w:t>All other EEM with no evaluated NTGR; direct install to hard-to-reach only.</w:t>
            </w:r>
          </w:p>
        </w:tc>
        <w:tc>
          <w:tcPr>
            <w:tcW w:w="440" w:type="pct"/>
            <w:vAlign w:val="center"/>
          </w:tcPr>
          <w:p w:rsidR="00376255" w:rsidRDefault="00376255">
            <w:pPr>
              <w:jc w:val="center"/>
              <w:rPr>
                <w:rFonts w:asciiTheme="minorHAnsi" w:hAnsiTheme="minorHAnsi" w:cstheme="minorHAnsi"/>
                <w:sz w:val="20"/>
                <w:szCs w:val="20"/>
              </w:rPr>
            </w:pPr>
            <w:proofErr w:type="spellStart"/>
            <w:r>
              <w:rPr>
                <w:rFonts w:asciiTheme="minorHAnsi" w:hAnsiTheme="minorHAnsi" w:cstheme="minorHAnsi"/>
                <w:sz w:val="20"/>
                <w:szCs w:val="20"/>
              </w:rPr>
              <w:t>Ind</w:t>
            </w:r>
            <w:proofErr w:type="spellEnd"/>
          </w:p>
        </w:tc>
        <w:tc>
          <w:tcPr>
            <w:tcW w:w="564" w:type="pct"/>
            <w:vAlign w:val="center"/>
          </w:tcPr>
          <w:p w:rsidR="00376255" w:rsidRDefault="00376255">
            <w:pPr>
              <w:jc w:val="center"/>
              <w:rPr>
                <w:rFonts w:asciiTheme="minorHAnsi" w:hAnsiTheme="minorHAnsi" w:cstheme="minorHAnsi"/>
                <w:sz w:val="20"/>
                <w:szCs w:val="20"/>
              </w:rPr>
            </w:pPr>
            <w:r>
              <w:rPr>
                <w:rFonts w:asciiTheme="minorHAnsi" w:hAnsiTheme="minorHAnsi" w:cstheme="minorHAnsi"/>
                <w:sz w:val="20"/>
                <w:szCs w:val="20"/>
              </w:rPr>
              <w:t>Any</w:t>
            </w:r>
          </w:p>
        </w:tc>
        <w:tc>
          <w:tcPr>
            <w:tcW w:w="668" w:type="pct"/>
            <w:vAlign w:val="center"/>
          </w:tcPr>
          <w:p w:rsidR="00376255" w:rsidRDefault="00376255">
            <w:pPr>
              <w:jc w:val="center"/>
              <w:rPr>
                <w:rFonts w:asciiTheme="minorHAnsi" w:hAnsiTheme="minorHAnsi" w:cstheme="minorHAnsi"/>
                <w:sz w:val="20"/>
                <w:szCs w:val="20"/>
              </w:rPr>
            </w:pPr>
            <w:r>
              <w:rPr>
                <w:rFonts w:asciiTheme="minorHAnsi" w:hAnsiTheme="minorHAnsi" w:cstheme="minorHAnsi"/>
                <w:sz w:val="20"/>
                <w:szCs w:val="20"/>
              </w:rPr>
              <w:t>DirInstall</w:t>
            </w:r>
          </w:p>
        </w:tc>
        <w:tc>
          <w:tcPr>
            <w:tcW w:w="352" w:type="pct"/>
            <w:vAlign w:val="center"/>
          </w:tcPr>
          <w:p w:rsidR="00376255" w:rsidRDefault="00376255">
            <w:pPr>
              <w:jc w:val="center"/>
              <w:rPr>
                <w:rFonts w:asciiTheme="minorHAnsi" w:hAnsiTheme="minorHAnsi" w:cstheme="minorHAnsi"/>
                <w:sz w:val="20"/>
                <w:szCs w:val="20"/>
              </w:rPr>
            </w:pPr>
            <w:r>
              <w:rPr>
                <w:rFonts w:asciiTheme="minorHAnsi" w:hAnsiTheme="minorHAnsi" w:cstheme="minorHAnsi"/>
                <w:sz w:val="20"/>
                <w:szCs w:val="20"/>
              </w:rPr>
              <w:t>0.85</w:t>
            </w:r>
          </w:p>
        </w:tc>
      </w:tr>
      <w:tr w:rsidR="00376255" w:rsidRPr="000F130A" w:rsidTr="00984951">
        <w:trPr>
          <w:cnfStyle w:val="000000100000" w:firstRow="0" w:lastRow="0" w:firstColumn="0" w:lastColumn="0" w:oddVBand="0" w:evenVBand="0" w:oddHBand="1" w:evenHBand="0" w:firstRowFirstColumn="0" w:firstRowLastColumn="0" w:lastRowFirstColumn="0" w:lastRowLastColumn="0"/>
          <w:jc w:val="center"/>
        </w:trPr>
        <w:tc>
          <w:tcPr>
            <w:tcW w:w="706" w:type="pct"/>
            <w:vAlign w:val="center"/>
          </w:tcPr>
          <w:p w:rsidR="00376255" w:rsidRDefault="00376255">
            <w:pPr>
              <w:jc w:val="center"/>
              <w:rPr>
                <w:rFonts w:asciiTheme="minorHAnsi" w:hAnsiTheme="minorHAnsi" w:cstheme="minorHAnsi"/>
                <w:sz w:val="20"/>
                <w:szCs w:val="20"/>
              </w:rPr>
            </w:pPr>
            <w:proofErr w:type="spellStart"/>
            <w:r>
              <w:rPr>
                <w:rFonts w:asciiTheme="minorHAnsi" w:hAnsiTheme="minorHAnsi" w:cstheme="minorHAnsi"/>
                <w:sz w:val="20"/>
                <w:szCs w:val="20"/>
              </w:rPr>
              <w:t>Agricult</w:t>
            </w:r>
            <w:proofErr w:type="spellEnd"/>
            <w:r>
              <w:rPr>
                <w:rFonts w:asciiTheme="minorHAnsi" w:hAnsiTheme="minorHAnsi" w:cstheme="minorHAnsi"/>
                <w:sz w:val="20"/>
                <w:szCs w:val="20"/>
              </w:rPr>
              <w:t>-Default-HTG-di</w:t>
            </w:r>
          </w:p>
        </w:tc>
        <w:tc>
          <w:tcPr>
            <w:tcW w:w="2269" w:type="pct"/>
            <w:vAlign w:val="center"/>
          </w:tcPr>
          <w:p w:rsidR="00376255" w:rsidRDefault="00376255">
            <w:pPr>
              <w:jc w:val="center"/>
              <w:rPr>
                <w:rFonts w:asciiTheme="minorHAnsi" w:hAnsiTheme="minorHAnsi" w:cstheme="minorHAnsi"/>
                <w:sz w:val="20"/>
                <w:szCs w:val="20"/>
              </w:rPr>
            </w:pPr>
            <w:r>
              <w:rPr>
                <w:rFonts w:asciiTheme="minorHAnsi" w:hAnsiTheme="minorHAnsi" w:cstheme="minorHAnsi"/>
                <w:sz w:val="20"/>
                <w:szCs w:val="20"/>
              </w:rPr>
              <w:t>All other EEM with no evaluated NTGR; direct install to hard-to-reach only.</w:t>
            </w:r>
          </w:p>
        </w:tc>
        <w:tc>
          <w:tcPr>
            <w:tcW w:w="440" w:type="pct"/>
            <w:vAlign w:val="center"/>
          </w:tcPr>
          <w:p w:rsidR="00376255" w:rsidRDefault="00376255">
            <w:pPr>
              <w:jc w:val="center"/>
              <w:rPr>
                <w:rFonts w:asciiTheme="minorHAnsi" w:hAnsiTheme="minorHAnsi" w:cstheme="minorHAnsi"/>
                <w:sz w:val="20"/>
                <w:szCs w:val="20"/>
              </w:rPr>
            </w:pPr>
            <w:r>
              <w:rPr>
                <w:rFonts w:asciiTheme="minorHAnsi" w:hAnsiTheme="minorHAnsi" w:cstheme="minorHAnsi"/>
                <w:sz w:val="20"/>
                <w:szCs w:val="20"/>
              </w:rPr>
              <w:t>Ag</w:t>
            </w:r>
          </w:p>
        </w:tc>
        <w:tc>
          <w:tcPr>
            <w:tcW w:w="564" w:type="pct"/>
            <w:vAlign w:val="center"/>
          </w:tcPr>
          <w:p w:rsidR="00376255" w:rsidRDefault="00376255">
            <w:pPr>
              <w:jc w:val="center"/>
              <w:rPr>
                <w:rFonts w:asciiTheme="minorHAnsi" w:hAnsiTheme="minorHAnsi" w:cstheme="minorHAnsi"/>
                <w:sz w:val="20"/>
                <w:szCs w:val="20"/>
              </w:rPr>
            </w:pPr>
            <w:r>
              <w:rPr>
                <w:rFonts w:asciiTheme="minorHAnsi" w:hAnsiTheme="minorHAnsi" w:cstheme="minorHAnsi"/>
                <w:sz w:val="20"/>
                <w:szCs w:val="20"/>
              </w:rPr>
              <w:t>Any</w:t>
            </w:r>
          </w:p>
        </w:tc>
        <w:tc>
          <w:tcPr>
            <w:tcW w:w="668" w:type="pct"/>
            <w:vAlign w:val="center"/>
          </w:tcPr>
          <w:p w:rsidR="00376255" w:rsidRDefault="00376255">
            <w:pPr>
              <w:jc w:val="center"/>
              <w:rPr>
                <w:rFonts w:asciiTheme="minorHAnsi" w:hAnsiTheme="minorHAnsi" w:cstheme="minorHAnsi"/>
                <w:sz w:val="20"/>
                <w:szCs w:val="20"/>
              </w:rPr>
            </w:pPr>
            <w:r>
              <w:rPr>
                <w:rFonts w:asciiTheme="minorHAnsi" w:hAnsiTheme="minorHAnsi" w:cstheme="minorHAnsi"/>
                <w:sz w:val="20"/>
                <w:szCs w:val="20"/>
              </w:rPr>
              <w:t>DirInstall</w:t>
            </w:r>
          </w:p>
        </w:tc>
        <w:tc>
          <w:tcPr>
            <w:tcW w:w="352" w:type="pct"/>
            <w:vAlign w:val="center"/>
          </w:tcPr>
          <w:p w:rsidR="00376255" w:rsidRDefault="00376255">
            <w:pPr>
              <w:jc w:val="center"/>
              <w:rPr>
                <w:rFonts w:asciiTheme="minorHAnsi" w:hAnsiTheme="minorHAnsi" w:cstheme="minorHAnsi"/>
                <w:sz w:val="20"/>
                <w:szCs w:val="20"/>
              </w:rPr>
            </w:pPr>
            <w:r>
              <w:rPr>
                <w:rFonts w:asciiTheme="minorHAnsi" w:hAnsiTheme="minorHAnsi" w:cstheme="minorHAnsi"/>
                <w:sz w:val="20"/>
                <w:szCs w:val="20"/>
              </w:rPr>
              <w:t>0.85</w:t>
            </w:r>
          </w:p>
        </w:tc>
      </w:tr>
      <w:tr w:rsidR="00563A9F" w:rsidRPr="000F130A" w:rsidTr="00984951">
        <w:trPr>
          <w:cnfStyle w:val="000000010000" w:firstRow="0" w:lastRow="0" w:firstColumn="0" w:lastColumn="0" w:oddVBand="0" w:evenVBand="0" w:oddHBand="0" w:evenHBand="1" w:firstRowFirstColumn="0" w:firstRowLastColumn="0" w:lastRowFirstColumn="0" w:lastRowLastColumn="0"/>
          <w:jc w:val="center"/>
        </w:trPr>
        <w:tc>
          <w:tcPr>
            <w:tcW w:w="706"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Res-Default-HTG-di</w:t>
            </w:r>
          </w:p>
        </w:tc>
        <w:tc>
          <w:tcPr>
            <w:tcW w:w="2269"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All other EEM with no evaluated NTGR; direct install hard-to-reach only.</w:t>
            </w:r>
          </w:p>
        </w:tc>
        <w:tc>
          <w:tcPr>
            <w:tcW w:w="440"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Res</w:t>
            </w:r>
          </w:p>
        </w:tc>
        <w:tc>
          <w:tcPr>
            <w:tcW w:w="564"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Any</w:t>
            </w:r>
          </w:p>
        </w:tc>
        <w:tc>
          <w:tcPr>
            <w:tcW w:w="668" w:type="pct"/>
            <w:vAlign w:val="center"/>
          </w:tcPr>
          <w:p w:rsidR="00563A9F" w:rsidRPr="004648BC" w:rsidRDefault="00563A9F" w:rsidP="00984951">
            <w:pPr>
              <w:jc w:val="center"/>
              <w:rPr>
                <w:rFonts w:asciiTheme="minorHAnsi" w:hAnsiTheme="minorHAnsi" w:cstheme="minorHAnsi"/>
                <w:sz w:val="20"/>
                <w:szCs w:val="20"/>
              </w:rPr>
            </w:pPr>
            <w:r w:rsidRPr="004648BC">
              <w:rPr>
                <w:rFonts w:asciiTheme="minorHAnsi" w:hAnsiTheme="minorHAnsi" w:cstheme="minorHAnsi"/>
                <w:sz w:val="20"/>
                <w:szCs w:val="20"/>
              </w:rPr>
              <w:t>DirInstall</w:t>
            </w:r>
          </w:p>
        </w:tc>
        <w:tc>
          <w:tcPr>
            <w:tcW w:w="352" w:type="pct"/>
            <w:vAlign w:val="center"/>
          </w:tcPr>
          <w:p w:rsidR="00563A9F" w:rsidRPr="00775B20" w:rsidRDefault="00563A9F" w:rsidP="00984951">
            <w:pPr>
              <w:jc w:val="center"/>
              <w:rPr>
                <w:rFonts w:asciiTheme="minorHAnsi" w:hAnsiTheme="minorHAnsi" w:cs="Calibri"/>
                <w:sz w:val="20"/>
                <w:szCs w:val="20"/>
              </w:rPr>
            </w:pPr>
            <w:r w:rsidRPr="00775B20">
              <w:rPr>
                <w:rFonts w:asciiTheme="minorHAnsi" w:hAnsiTheme="minorHAnsi" w:cs="Calibri"/>
                <w:sz w:val="20"/>
                <w:szCs w:val="20"/>
              </w:rPr>
              <w:t>0.85</w:t>
            </w:r>
          </w:p>
        </w:tc>
      </w:tr>
      <w:tr w:rsidR="00ED1DA9" w:rsidRPr="000F130A" w:rsidTr="00984951">
        <w:trPr>
          <w:cnfStyle w:val="000000100000" w:firstRow="0" w:lastRow="0" w:firstColumn="0" w:lastColumn="0" w:oddVBand="0" w:evenVBand="0" w:oddHBand="1" w:evenHBand="0" w:firstRowFirstColumn="0" w:firstRowLastColumn="0" w:lastRowFirstColumn="0" w:lastRowLastColumn="0"/>
          <w:jc w:val="center"/>
        </w:trPr>
        <w:tc>
          <w:tcPr>
            <w:tcW w:w="706" w:type="pct"/>
            <w:vAlign w:val="center"/>
          </w:tcPr>
          <w:p w:rsidR="00ED1DA9" w:rsidRPr="004648BC" w:rsidRDefault="00ED1DA9" w:rsidP="00984951">
            <w:pPr>
              <w:jc w:val="center"/>
              <w:rPr>
                <w:rFonts w:asciiTheme="minorHAnsi" w:hAnsiTheme="minorHAnsi" w:cs="Calibri"/>
                <w:sz w:val="20"/>
                <w:szCs w:val="20"/>
              </w:rPr>
            </w:pPr>
            <w:proofErr w:type="spellStart"/>
            <w:r w:rsidRPr="00ED1DA9">
              <w:rPr>
                <w:rFonts w:asciiTheme="minorHAnsi" w:hAnsiTheme="minorHAnsi" w:cs="Calibri"/>
                <w:sz w:val="20"/>
                <w:szCs w:val="20"/>
              </w:rPr>
              <w:t>NonRes-sAll-mCFL-dn</w:t>
            </w:r>
            <w:proofErr w:type="spellEnd"/>
          </w:p>
        </w:tc>
        <w:tc>
          <w:tcPr>
            <w:tcW w:w="2269" w:type="pct"/>
            <w:vAlign w:val="center"/>
          </w:tcPr>
          <w:p w:rsidR="00ED1DA9" w:rsidRPr="004648BC" w:rsidRDefault="00ED1DA9" w:rsidP="00984951">
            <w:pPr>
              <w:jc w:val="center"/>
              <w:rPr>
                <w:rFonts w:asciiTheme="minorHAnsi" w:hAnsiTheme="minorHAnsi" w:cs="Calibri"/>
                <w:sz w:val="20"/>
                <w:szCs w:val="20"/>
              </w:rPr>
            </w:pPr>
            <w:r w:rsidRPr="004648BC">
              <w:rPr>
                <w:rFonts w:asciiTheme="minorHAnsi" w:hAnsiTheme="minorHAnsi" w:cs="Calibri"/>
                <w:sz w:val="20"/>
                <w:szCs w:val="20"/>
              </w:rPr>
              <w:t>CFLs</w:t>
            </w:r>
          </w:p>
        </w:tc>
        <w:tc>
          <w:tcPr>
            <w:tcW w:w="440" w:type="pct"/>
            <w:vAlign w:val="center"/>
          </w:tcPr>
          <w:p w:rsidR="00ED1DA9" w:rsidRPr="004648BC" w:rsidRDefault="00ED1DA9" w:rsidP="00770CBB">
            <w:pPr>
              <w:jc w:val="center"/>
              <w:rPr>
                <w:rFonts w:asciiTheme="minorHAnsi" w:hAnsiTheme="minorHAnsi" w:cs="Calibri"/>
                <w:sz w:val="20"/>
                <w:szCs w:val="20"/>
              </w:rPr>
            </w:pPr>
            <w:r w:rsidRPr="004648BC">
              <w:rPr>
                <w:rFonts w:asciiTheme="minorHAnsi" w:hAnsiTheme="minorHAnsi" w:cs="Calibri"/>
                <w:sz w:val="20"/>
                <w:szCs w:val="20"/>
              </w:rPr>
              <w:t>Com</w:t>
            </w:r>
          </w:p>
        </w:tc>
        <w:tc>
          <w:tcPr>
            <w:tcW w:w="564" w:type="pct"/>
            <w:vAlign w:val="center"/>
          </w:tcPr>
          <w:p w:rsidR="00ED1DA9" w:rsidRPr="004648BC" w:rsidRDefault="00ED1DA9" w:rsidP="00770CBB">
            <w:pPr>
              <w:jc w:val="center"/>
              <w:rPr>
                <w:rFonts w:asciiTheme="minorHAnsi" w:hAnsiTheme="minorHAnsi" w:cs="Calibri"/>
                <w:sz w:val="20"/>
                <w:szCs w:val="20"/>
              </w:rPr>
            </w:pPr>
            <w:r w:rsidRPr="004648BC">
              <w:rPr>
                <w:rFonts w:asciiTheme="minorHAnsi" w:hAnsiTheme="minorHAnsi" w:cs="Calibri"/>
                <w:sz w:val="20"/>
                <w:szCs w:val="20"/>
              </w:rPr>
              <w:t>Any</w:t>
            </w:r>
          </w:p>
        </w:tc>
        <w:tc>
          <w:tcPr>
            <w:tcW w:w="668" w:type="pct"/>
            <w:vAlign w:val="center"/>
          </w:tcPr>
          <w:p w:rsidR="00ED1DA9" w:rsidRPr="004648BC" w:rsidRDefault="00ED1DA9" w:rsidP="00984951">
            <w:pPr>
              <w:jc w:val="center"/>
              <w:rPr>
                <w:rFonts w:asciiTheme="minorHAnsi" w:hAnsiTheme="minorHAnsi" w:cstheme="minorHAnsi"/>
                <w:sz w:val="20"/>
                <w:szCs w:val="20"/>
              </w:rPr>
            </w:pPr>
            <w:proofErr w:type="spellStart"/>
            <w:r w:rsidRPr="00ED1DA9">
              <w:rPr>
                <w:rFonts w:asciiTheme="minorHAnsi" w:hAnsiTheme="minorHAnsi" w:cstheme="minorHAnsi"/>
                <w:sz w:val="20"/>
                <w:szCs w:val="20"/>
              </w:rPr>
              <w:t>PreRebDown</w:t>
            </w:r>
            <w:proofErr w:type="spellEnd"/>
          </w:p>
        </w:tc>
        <w:tc>
          <w:tcPr>
            <w:tcW w:w="352" w:type="pct"/>
            <w:vAlign w:val="center"/>
          </w:tcPr>
          <w:p w:rsidR="00ED1DA9" w:rsidRPr="00775B20" w:rsidRDefault="00ED1DA9" w:rsidP="00984951">
            <w:pPr>
              <w:jc w:val="center"/>
              <w:rPr>
                <w:rFonts w:asciiTheme="minorHAnsi" w:hAnsiTheme="minorHAnsi" w:cs="Calibri"/>
                <w:sz w:val="20"/>
                <w:szCs w:val="20"/>
              </w:rPr>
            </w:pPr>
            <w:r>
              <w:rPr>
                <w:rFonts w:asciiTheme="minorHAnsi" w:hAnsiTheme="minorHAnsi" w:cs="Calibri"/>
                <w:sz w:val="20"/>
                <w:szCs w:val="20"/>
              </w:rPr>
              <w:t>0.53</w:t>
            </w:r>
          </w:p>
        </w:tc>
      </w:tr>
      <w:tr w:rsidR="00563A9F" w:rsidRPr="000F130A" w:rsidTr="00984951">
        <w:trPr>
          <w:cnfStyle w:val="000000010000" w:firstRow="0" w:lastRow="0" w:firstColumn="0" w:lastColumn="0" w:oddVBand="0" w:evenVBand="0" w:oddHBand="0" w:evenHBand="1" w:firstRowFirstColumn="0" w:firstRowLastColumn="0" w:lastRowFirstColumn="0" w:lastRowLastColumn="0"/>
          <w:jc w:val="center"/>
        </w:trPr>
        <w:tc>
          <w:tcPr>
            <w:tcW w:w="706"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Com-Default&gt;2yrs</w:t>
            </w:r>
          </w:p>
        </w:tc>
        <w:tc>
          <w:tcPr>
            <w:tcW w:w="2269"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All other EEMs with no evaluated NTGR; existing EEM in programs with same delivery mechanism for more than 2 years</w:t>
            </w:r>
          </w:p>
        </w:tc>
        <w:tc>
          <w:tcPr>
            <w:tcW w:w="440"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Com</w:t>
            </w:r>
          </w:p>
        </w:tc>
        <w:tc>
          <w:tcPr>
            <w:tcW w:w="564"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Any</w:t>
            </w:r>
          </w:p>
        </w:tc>
        <w:tc>
          <w:tcPr>
            <w:tcW w:w="668" w:type="pct"/>
            <w:vAlign w:val="center"/>
          </w:tcPr>
          <w:p w:rsidR="00563A9F" w:rsidRPr="004648BC" w:rsidRDefault="00563A9F" w:rsidP="00984951">
            <w:pPr>
              <w:jc w:val="center"/>
              <w:rPr>
                <w:rFonts w:asciiTheme="minorHAnsi" w:hAnsiTheme="minorHAnsi" w:cstheme="minorHAnsi"/>
                <w:sz w:val="20"/>
                <w:szCs w:val="20"/>
              </w:rPr>
            </w:pPr>
            <w:r w:rsidRPr="004648BC">
              <w:rPr>
                <w:rFonts w:asciiTheme="minorHAnsi" w:hAnsiTheme="minorHAnsi" w:cstheme="minorHAnsi"/>
                <w:sz w:val="20"/>
                <w:szCs w:val="20"/>
              </w:rPr>
              <w:t>All</w:t>
            </w:r>
          </w:p>
        </w:tc>
        <w:tc>
          <w:tcPr>
            <w:tcW w:w="352" w:type="pct"/>
            <w:vAlign w:val="center"/>
          </w:tcPr>
          <w:p w:rsidR="00563A9F" w:rsidRPr="00775B20" w:rsidRDefault="00563A9F" w:rsidP="00984951">
            <w:pPr>
              <w:jc w:val="center"/>
              <w:rPr>
                <w:rFonts w:asciiTheme="minorHAnsi" w:hAnsiTheme="minorHAnsi" w:cs="Calibri"/>
                <w:sz w:val="20"/>
                <w:szCs w:val="20"/>
              </w:rPr>
            </w:pPr>
            <w:r w:rsidRPr="00775B20">
              <w:rPr>
                <w:rFonts w:asciiTheme="minorHAnsi" w:hAnsiTheme="minorHAnsi" w:cs="Calibri"/>
                <w:sz w:val="20"/>
                <w:szCs w:val="20"/>
              </w:rPr>
              <w:t>0.6</w:t>
            </w:r>
          </w:p>
        </w:tc>
      </w:tr>
      <w:tr w:rsidR="00563A9F" w:rsidRPr="000F130A" w:rsidTr="00984951">
        <w:trPr>
          <w:cnfStyle w:val="000000100000" w:firstRow="0" w:lastRow="0" w:firstColumn="0" w:lastColumn="0" w:oddVBand="0" w:evenVBand="0" w:oddHBand="1" w:evenHBand="0" w:firstRowFirstColumn="0" w:firstRowLastColumn="0" w:lastRowFirstColumn="0" w:lastRowLastColumn="0"/>
          <w:jc w:val="center"/>
        </w:trPr>
        <w:tc>
          <w:tcPr>
            <w:tcW w:w="706"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lastRenderedPageBreak/>
              <w:t>Ind-Default&gt;2yrs</w:t>
            </w:r>
          </w:p>
        </w:tc>
        <w:tc>
          <w:tcPr>
            <w:tcW w:w="2269"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All other EEMs with no evaluated NTGR; existing EEM in programs with same delivery mechanism for more than 2 years</w:t>
            </w:r>
          </w:p>
        </w:tc>
        <w:tc>
          <w:tcPr>
            <w:tcW w:w="440"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Ind</w:t>
            </w:r>
          </w:p>
        </w:tc>
        <w:tc>
          <w:tcPr>
            <w:tcW w:w="564" w:type="pct"/>
            <w:vAlign w:val="center"/>
          </w:tcPr>
          <w:p w:rsidR="00563A9F" w:rsidRPr="004648BC" w:rsidRDefault="00563A9F" w:rsidP="00984951">
            <w:pPr>
              <w:jc w:val="center"/>
              <w:rPr>
                <w:rFonts w:asciiTheme="minorHAnsi" w:hAnsiTheme="minorHAnsi" w:cs="Calibri"/>
                <w:sz w:val="20"/>
                <w:szCs w:val="20"/>
              </w:rPr>
            </w:pPr>
            <w:r w:rsidRPr="004648BC">
              <w:rPr>
                <w:rFonts w:asciiTheme="minorHAnsi" w:hAnsiTheme="minorHAnsi" w:cs="Calibri"/>
                <w:sz w:val="20"/>
                <w:szCs w:val="20"/>
              </w:rPr>
              <w:t>Any</w:t>
            </w:r>
          </w:p>
        </w:tc>
        <w:tc>
          <w:tcPr>
            <w:tcW w:w="668" w:type="pct"/>
            <w:vAlign w:val="center"/>
          </w:tcPr>
          <w:p w:rsidR="00563A9F" w:rsidRPr="004648BC" w:rsidRDefault="00563A9F" w:rsidP="00984951">
            <w:pPr>
              <w:jc w:val="center"/>
              <w:rPr>
                <w:rFonts w:asciiTheme="minorHAnsi" w:hAnsiTheme="minorHAnsi" w:cstheme="minorHAnsi"/>
                <w:sz w:val="20"/>
                <w:szCs w:val="20"/>
              </w:rPr>
            </w:pPr>
            <w:r w:rsidRPr="004648BC">
              <w:rPr>
                <w:rFonts w:asciiTheme="minorHAnsi" w:hAnsiTheme="minorHAnsi" w:cstheme="minorHAnsi"/>
                <w:sz w:val="20"/>
                <w:szCs w:val="20"/>
              </w:rPr>
              <w:t>All</w:t>
            </w:r>
          </w:p>
        </w:tc>
        <w:tc>
          <w:tcPr>
            <w:tcW w:w="352" w:type="pct"/>
            <w:vAlign w:val="center"/>
          </w:tcPr>
          <w:p w:rsidR="00563A9F" w:rsidRPr="00775B20" w:rsidRDefault="00563A9F" w:rsidP="00984951">
            <w:pPr>
              <w:jc w:val="center"/>
              <w:rPr>
                <w:rFonts w:asciiTheme="minorHAnsi" w:hAnsiTheme="minorHAnsi" w:cs="Calibri"/>
                <w:sz w:val="20"/>
                <w:szCs w:val="20"/>
              </w:rPr>
            </w:pPr>
            <w:r w:rsidRPr="00775B20">
              <w:rPr>
                <w:rFonts w:asciiTheme="minorHAnsi" w:hAnsiTheme="minorHAnsi" w:cs="Calibri"/>
                <w:sz w:val="20"/>
                <w:szCs w:val="20"/>
              </w:rPr>
              <w:t>0.6</w:t>
            </w:r>
          </w:p>
        </w:tc>
      </w:tr>
      <w:tr w:rsidR="00376255" w:rsidRPr="000F130A" w:rsidTr="00984951">
        <w:trPr>
          <w:cnfStyle w:val="000000010000" w:firstRow="0" w:lastRow="0" w:firstColumn="0" w:lastColumn="0" w:oddVBand="0" w:evenVBand="0" w:oddHBand="0" w:evenHBand="1" w:firstRowFirstColumn="0" w:firstRowLastColumn="0" w:lastRowFirstColumn="0" w:lastRowLastColumn="0"/>
          <w:jc w:val="center"/>
        </w:trPr>
        <w:tc>
          <w:tcPr>
            <w:tcW w:w="706" w:type="pct"/>
            <w:vAlign w:val="center"/>
          </w:tcPr>
          <w:p w:rsidR="00376255" w:rsidRDefault="00376255">
            <w:pPr>
              <w:jc w:val="center"/>
              <w:rPr>
                <w:rFonts w:ascii="Calibri" w:hAnsi="Calibri"/>
                <w:color w:val="000000"/>
                <w:sz w:val="20"/>
                <w:szCs w:val="20"/>
              </w:rPr>
            </w:pPr>
            <w:proofErr w:type="spellStart"/>
            <w:r>
              <w:rPr>
                <w:rFonts w:ascii="Calibri" w:hAnsi="Calibri"/>
                <w:color w:val="000000"/>
                <w:sz w:val="20"/>
                <w:szCs w:val="20"/>
              </w:rPr>
              <w:t>Agric</w:t>
            </w:r>
            <w:proofErr w:type="spellEnd"/>
            <w:r>
              <w:rPr>
                <w:rFonts w:ascii="Calibri" w:hAnsi="Calibri"/>
                <w:color w:val="000000"/>
                <w:sz w:val="20"/>
                <w:szCs w:val="20"/>
              </w:rPr>
              <w:t>-Default&gt;2yrs</w:t>
            </w:r>
          </w:p>
        </w:tc>
        <w:tc>
          <w:tcPr>
            <w:tcW w:w="2269" w:type="pct"/>
            <w:vAlign w:val="center"/>
          </w:tcPr>
          <w:p w:rsidR="00376255" w:rsidRDefault="00376255">
            <w:pPr>
              <w:jc w:val="center"/>
              <w:rPr>
                <w:rFonts w:ascii="Calibri" w:hAnsi="Calibri"/>
                <w:color w:val="000000"/>
                <w:sz w:val="20"/>
                <w:szCs w:val="20"/>
              </w:rPr>
            </w:pPr>
            <w:r>
              <w:rPr>
                <w:rFonts w:ascii="Calibri" w:hAnsi="Calibri"/>
                <w:color w:val="000000"/>
                <w:sz w:val="20"/>
                <w:szCs w:val="20"/>
              </w:rPr>
              <w:t>All other EEMs with no evaluated NTGR; existing EEM in programs with same delivery mechanism for more than 2 years</w:t>
            </w:r>
          </w:p>
        </w:tc>
        <w:tc>
          <w:tcPr>
            <w:tcW w:w="440" w:type="pct"/>
            <w:vAlign w:val="center"/>
          </w:tcPr>
          <w:p w:rsidR="00376255" w:rsidRDefault="00376255">
            <w:pPr>
              <w:jc w:val="center"/>
              <w:rPr>
                <w:rFonts w:ascii="Calibri" w:hAnsi="Calibri"/>
                <w:color w:val="000000"/>
                <w:sz w:val="20"/>
                <w:szCs w:val="20"/>
              </w:rPr>
            </w:pPr>
            <w:r>
              <w:rPr>
                <w:rFonts w:ascii="Calibri" w:hAnsi="Calibri"/>
                <w:color w:val="000000"/>
                <w:sz w:val="20"/>
                <w:szCs w:val="20"/>
              </w:rPr>
              <w:t>Ag</w:t>
            </w:r>
          </w:p>
        </w:tc>
        <w:tc>
          <w:tcPr>
            <w:tcW w:w="564" w:type="pct"/>
            <w:vAlign w:val="center"/>
          </w:tcPr>
          <w:p w:rsidR="00376255" w:rsidRDefault="00376255">
            <w:pPr>
              <w:jc w:val="center"/>
              <w:rPr>
                <w:sz w:val="20"/>
                <w:szCs w:val="20"/>
              </w:rPr>
            </w:pPr>
            <w:r>
              <w:rPr>
                <w:rFonts w:asciiTheme="minorHAnsi" w:hAnsiTheme="minorHAnsi" w:cstheme="minorHAnsi"/>
                <w:sz w:val="20"/>
                <w:szCs w:val="20"/>
              </w:rPr>
              <w:t>Any</w:t>
            </w:r>
          </w:p>
        </w:tc>
        <w:tc>
          <w:tcPr>
            <w:tcW w:w="668" w:type="pct"/>
            <w:vAlign w:val="center"/>
          </w:tcPr>
          <w:p w:rsidR="00376255" w:rsidRDefault="00376255">
            <w:pPr>
              <w:jc w:val="center"/>
              <w:rPr>
                <w:rFonts w:ascii="Calibri" w:hAnsi="Calibri"/>
                <w:color w:val="000000"/>
                <w:sz w:val="20"/>
                <w:szCs w:val="20"/>
              </w:rPr>
            </w:pPr>
            <w:r>
              <w:rPr>
                <w:rFonts w:ascii="Calibri" w:hAnsi="Calibri"/>
                <w:color w:val="000000"/>
                <w:sz w:val="20"/>
                <w:szCs w:val="20"/>
              </w:rPr>
              <w:t>Any</w:t>
            </w:r>
          </w:p>
        </w:tc>
        <w:tc>
          <w:tcPr>
            <w:tcW w:w="352" w:type="pct"/>
            <w:vAlign w:val="center"/>
          </w:tcPr>
          <w:p w:rsidR="00376255" w:rsidRDefault="008D725E">
            <w:pPr>
              <w:jc w:val="center"/>
              <w:rPr>
                <w:rFonts w:ascii="Calibri" w:hAnsi="Calibri"/>
                <w:color w:val="000000"/>
                <w:sz w:val="20"/>
                <w:szCs w:val="20"/>
              </w:rPr>
            </w:pPr>
            <w:r>
              <w:rPr>
                <w:rFonts w:ascii="Calibri" w:hAnsi="Calibri"/>
                <w:color w:val="000000"/>
                <w:sz w:val="20"/>
                <w:szCs w:val="20"/>
              </w:rPr>
              <w:t>0.6</w:t>
            </w:r>
          </w:p>
        </w:tc>
      </w:tr>
      <w:tr w:rsidR="00376255" w:rsidRPr="000F130A" w:rsidTr="00984951">
        <w:trPr>
          <w:cnfStyle w:val="000000100000" w:firstRow="0" w:lastRow="0" w:firstColumn="0" w:lastColumn="0" w:oddVBand="0" w:evenVBand="0" w:oddHBand="1" w:evenHBand="0" w:firstRowFirstColumn="0" w:firstRowLastColumn="0" w:lastRowFirstColumn="0" w:lastRowLastColumn="0"/>
          <w:jc w:val="center"/>
        </w:trPr>
        <w:tc>
          <w:tcPr>
            <w:tcW w:w="706" w:type="pct"/>
            <w:vAlign w:val="center"/>
          </w:tcPr>
          <w:p w:rsidR="00376255" w:rsidRPr="004648BC" w:rsidRDefault="00376255" w:rsidP="002163E5">
            <w:pPr>
              <w:jc w:val="center"/>
              <w:rPr>
                <w:rFonts w:asciiTheme="minorHAnsi" w:hAnsiTheme="minorHAnsi" w:cs="Calibri"/>
                <w:sz w:val="20"/>
                <w:szCs w:val="20"/>
              </w:rPr>
            </w:pPr>
            <w:r w:rsidRPr="004648BC">
              <w:rPr>
                <w:rFonts w:asciiTheme="minorHAnsi" w:hAnsiTheme="minorHAnsi" w:cs="Calibri"/>
                <w:sz w:val="20"/>
                <w:szCs w:val="20"/>
              </w:rPr>
              <w:t>Res-Default&gt;2</w:t>
            </w:r>
          </w:p>
        </w:tc>
        <w:tc>
          <w:tcPr>
            <w:tcW w:w="2269" w:type="pct"/>
            <w:vAlign w:val="center"/>
          </w:tcPr>
          <w:p w:rsidR="00376255" w:rsidRPr="004648BC" w:rsidRDefault="00376255" w:rsidP="002163E5">
            <w:pPr>
              <w:jc w:val="center"/>
              <w:rPr>
                <w:rFonts w:asciiTheme="minorHAnsi" w:hAnsiTheme="minorHAnsi" w:cs="Calibri"/>
                <w:sz w:val="20"/>
                <w:szCs w:val="20"/>
              </w:rPr>
            </w:pPr>
            <w:r w:rsidRPr="004648BC">
              <w:rPr>
                <w:rFonts w:asciiTheme="minorHAnsi" w:hAnsiTheme="minorHAnsi" w:cs="Calibri"/>
                <w:sz w:val="20"/>
                <w:szCs w:val="20"/>
              </w:rPr>
              <w:t>All other EEM with no evaluated NTGR; existing EEM with same delivery mechanism for more than 2 years</w:t>
            </w:r>
          </w:p>
        </w:tc>
        <w:tc>
          <w:tcPr>
            <w:tcW w:w="440" w:type="pct"/>
            <w:vAlign w:val="center"/>
          </w:tcPr>
          <w:p w:rsidR="00376255" w:rsidRPr="004648BC" w:rsidRDefault="00376255" w:rsidP="002163E5">
            <w:pPr>
              <w:jc w:val="center"/>
              <w:rPr>
                <w:rFonts w:asciiTheme="minorHAnsi" w:hAnsiTheme="minorHAnsi" w:cs="Calibri"/>
                <w:sz w:val="20"/>
                <w:szCs w:val="20"/>
              </w:rPr>
            </w:pPr>
            <w:r w:rsidRPr="004648BC">
              <w:rPr>
                <w:rFonts w:asciiTheme="minorHAnsi" w:hAnsiTheme="minorHAnsi" w:cs="Calibri"/>
                <w:sz w:val="20"/>
                <w:szCs w:val="20"/>
              </w:rPr>
              <w:t>Res</w:t>
            </w:r>
          </w:p>
        </w:tc>
        <w:tc>
          <w:tcPr>
            <w:tcW w:w="564" w:type="pct"/>
            <w:vAlign w:val="center"/>
          </w:tcPr>
          <w:p w:rsidR="00376255" w:rsidRPr="004648BC" w:rsidRDefault="00376255" w:rsidP="002163E5">
            <w:pPr>
              <w:jc w:val="center"/>
              <w:rPr>
                <w:rFonts w:asciiTheme="minorHAnsi" w:hAnsiTheme="minorHAnsi" w:cs="Calibri"/>
                <w:sz w:val="20"/>
                <w:szCs w:val="20"/>
              </w:rPr>
            </w:pPr>
            <w:r w:rsidRPr="004648BC">
              <w:rPr>
                <w:rFonts w:asciiTheme="minorHAnsi" w:hAnsiTheme="minorHAnsi" w:cs="Calibri"/>
                <w:sz w:val="20"/>
                <w:szCs w:val="20"/>
              </w:rPr>
              <w:t>Any</w:t>
            </w:r>
          </w:p>
        </w:tc>
        <w:tc>
          <w:tcPr>
            <w:tcW w:w="668" w:type="pct"/>
            <w:vAlign w:val="center"/>
          </w:tcPr>
          <w:p w:rsidR="00376255" w:rsidRPr="004648BC" w:rsidRDefault="00376255" w:rsidP="002163E5">
            <w:pPr>
              <w:jc w:val="center"/>
              <w:rPr>
                <w:rFonts w:asciiTheme="minorHAnsi" w:hAnsiTheme="minorHAnsi" w:cstheme="minorHAnsi"/>
                <w:sz w:val="20"/>
                <w:szCs w:val="20"/>
              </w:rPr>
            </w:pPr>
            <w:r w:rsidRPr="004648BC">
              <w:rPr>
                <w:rFonts w:asciiTheme="minorHAnsi" w:hAnsiTheme="minorHAnsi" w:cstheme="minorHAnsi"/>
                <w:sz w:val="20"/>
                <w:szCs w:val="20"/>
              </w:rPr>
              <w:t>All</w:t>
            </w:r>
          </w:p>
        </w:tc>
        <w:tc>
          <w:tcPr>
            <w:tcW w:w="352" w:type="pct"/>
            <w:vAlign w:val="center"/>
          </w:tcPr>
          <w:p w:rsidR="00376255" w:rsidRPr="004648BC" w:rsidRDefault="00376255" w:rsidP="002163E5">
            <w:pPr>
              <w:jc w:val="center"/>
              <w:rPr>
                <w:rFonts w:asciiTheme="minorHAnsi" w:hAnsiTheme="minorHAnsi" w:cs="Calibri"/>
                <w:sz w:val="20"/>
                <w:szCs w:val="20"/>
              </w:rPr>
            </w:pPr>
            <w:r w:rsidRPr="004648BC">
              <w:rPr>
                <w:rFonts w:asciiTheme="minorHAnsi" w:hAnsiTheme="minorHAnsi" w:cs="Calibri"/>
                <w:sz w:val="20"/>
                <w:szCs w:val="20"/>
              </w:rPr>
              <w:t>0.55</w:t>
            </w:r>
          </w:p>
        </w:tc>
      </w:tr>
    </w:tbl>
    <w:p w:rsidR="00563A9F" w:rsidRPr="004648BC" w:rsidRDefault="00563A9F" w:rsidP="00563A9F">
      <w:pPr>
        <w:keepNext/>
        <w:rPr>
          <w:rFonts w:ascii="Calibri" w:hAnsi="Calibri" w:cs="Calibri"/>
          <w:sz w:val="22"/>
          <w:szCs w:val="22"/>
        </w:rPr>
      </w:pPr>
      <w:r w:rsidRPr="00775B20">
        <w:rPr>
          <w:rFonts w:ascii="Calibri" w:hAnsi="Calibri" w:cs="Calibri"/>
          <w:sz w:val="20"/>
          <w:szCs w:val="22"/>
        </w:rPr>
        <w:t>*Denotes that the column is taken from the DEER NTG Table.</w:t>
      </w:r>
    </w:p>
    <w:p w:rsidR="000968C6" w:rsidRDefault="000968C6" w:rsidP="000968C6">
      <w:pPr>
        <w:pStyle w:val="Reminders"/>
        <w:rPr>
          <w:rFonts w:asciiTheme="minorHAnsi" w:hAnsiTheme="minorHAnsi" w:cstheme="minorHAnsi"/>
          <w:i w:val="0"/>
          <w:color w:val="auto"/>
          <w:sz w:val="22"/>
          <w:szCs w:val="22"/>
        </w:rPr>
      </w:pPr>
    </w:p>
    <w:p w:rsidR="00F15384" w:rsidRPr="006A6275" w:rsidRDefault="00F15384" w:rsidP="00F15384">
      <w:pPr>
        <w:pStyle w:val="Reminders"/>
        <w:rPr>
          <w:rFonts w:asciiTheme="minorHAnsi" w:hAnsiTheme="minorHAnsi" w:cstheme="minorHAnsi"/>
          <w:i w:val="0"/>
          <w:color w:val="auto"/>
          <w:sz w:val="22"/>
          <w:szCs w:val="22"/>
        </w:rPr>
      </w:pPr>
      <w:r w:rsidRPr="006A6275">
        <w:rPr>
          <w:rFonts w:asciiTheme="minorHAnsi" w:hAnsiTheme="minorHAnsi" w:cstheme="minorHAnsi"/>
          <w:i w:val="0"/>
          <w:color w:val="auto"/>
          <w:sz w:val="22"/>
          <w:szCs w:val="22"/>
        </w:rPr>
        <w:t>Note that for the direct install delivery mechanism, a distinction between hard to reach and non-hard to reach markets will be made on a project by project basis. This work paper shows the NTG associated with a hard to reach direct install delivery mechanism and the residential and non-residential defaulted NTG value, where in fact, a measure offered through direct install and is not “hard to reach” will receive a default NTG value.</w:t>
      </w:r>
    </w:p>
    <w:p w:rsidR="00F15384" w:rsidRPr="000968C6" w:rsidRDefault="00F15384" w:rsidP="000968C6">
      <w:pPr>
        <w:pStyle w:val="Reminders"/>
        <w:rPr>
          <w:rFonts w:asciiTheme="minorHAnsi" w:hAnsiTheme="minorHAnsi" w:cstheme="minorHAnsi"/>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READi.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AF6312" w:rsidRPr="00AF6312">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below.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2"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AF6312">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2"/>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31"/>
        <w:gridCol w:w="1695"/>
        <w:gridCol w:w="1290"/>
        <w:gridCol w:w="1608"/>
        <w:gridCol w:w="1279"/>
        <w:gridCol w:w="1187"/>
      </w:tblGrid>
      <w:tr w:rsidR="006B4A48" w:rsidRPr="00697868"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10"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9"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62" w:type="pct"/>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707"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GSIAValue</w:t>
            </w:r>
            <w:r w:rsidRPr="00697868">
              <w:rPr>
                <w:rFonts w:asciiTheme="minorHAnsi" w:hAnsiTheme="minorHAnsi" w:cstheme="minorHAnsi"/>
                <w:sz w:val="20"/>
                <w:szCs w:val="20"/>
              </w:rPr>
              <w:t>*</w:t>
            </w:r>
          </w:p>
        </w:tc>
      </w:tr>
      <w:tr w:rsidR="006B4A48" w:rsidRPr="00697868"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6B4A48" w:rsidRPr="00697868" w:rsidRDefault="008D13FB" w:rsidP="009630B8">
            <w:pPr>
              <w:jc w:val="center"/>
              <w:rPr>
                <w:rFonts w:asciiTheme="minorHAnsi" w:hAnsiTheme="minorHAnsi" w:cstheme="minorHAnsi"/>
                <w:sz w:val="20"/>
                <w:szCs w:val="20"/>
              </w:rPr>
            </w:pPr>
            <w:r>
              <w:rPr>
                <w:rFonts w:asciiTheme="minorHAnsi" w:hAnsiTheme="minorHAnsi" w:cstheme="minorHAnsi"/>
                <w:sz w:val="20"/>
                <w:szCs w:val="20"/>
              </w:rPr>
              <w:t>Def-GSIA</w:t>
            </w:r>
          </w:p>
        </w:tc>
        <w:tc>
          <w:tcPr>
            <w:tcW w:w="1010" w:type="pct"/>
            <w:vAlign w:val="center"/>
          </w:tcPr>
          <w:p w:rsidR="006B4A48" w:rsidRPr="00697868" w:rsidRDefault="008D13FB" w:rsidP="009630B8">
            <w:pPr>
              <w:jc w:val="center"/>
              <w:rPr>
                <w:rFonts w:asciiTheme="minorHAnsi" w:hAnsiTheme="minorHAnsi" w:cstheme="minorHAnsi"/>
                <w:sz w:val="20"/>
                <w:szCs w:val="20"/>
              </w:rPr>
            </w:pPr>
            <w:r w:rsidRPr="008D13FB">
              <w:rPr>
                <w:rFonts w:asciiTheme="minorHAnsi" w:hAnsiTheme="minorHAnsi" w:cstheme="minorHAnsi"/>
                <w:sz w:val="20"/>
                <w:szCs w:val="20"/>
              </w:rPr>
              <w:t>Default GSIA values</w:t>
            </w:r>
          </w:p>
        </w:tc>
        <w:tc>
          <w:tcPr>
            <w:tcW w:w="769" w:type="pct"/>
            <w:vAlign w:val="center"/>
          </w:tcPr>
          <w:p w:rsidR="006B4A48" w:rsidRPr="00697868" w:rsidRDefault="008D13FB"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95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62" w:type="pct"/>
            <w:vAlign w:val="center"/>
          </w:tcPr>
          <w:p w:rsidR="006B4A48" w:rsidRPr="00697868" w:rsidRDefault="008D13FB"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707" w:type="pct"/>
            <w:vAlign w:val="center"/>
          </w:tcPr>
          <w:p w:rsidR="006B4A48" w:rsidRPr="00697868" w:rsidRDefault="008D13FB" w:rsidP="009630B8">
            <w:pPr>
              <w:jc w:val="center"/>
              <w:rPr>
                <w:rFonts w:asciiTheme="minorHAnsi" w:hAnsiTheme="minorHAnsi" w:cstheme="minorHAnsi"/>
                <w:sz w:val="20"/>
                <w:szCs w:val="20"/>
              </w:rPr>
            </w:pPr>
            <w:r>
              <w:rPr>
                <w:rFonts w:asciiTheme="minorHAnsi" w:hAnsiTheme="minorHAnsi" w:cstheme="minorHAnsi"/>
                <w:sz w:val="20"/>
                <w:szCs w:val="20"/>
              </w:rPr>
              <w:t>1</w:t>
            </w:r>
          </w:p>
        </w:tc>
      </w:tr>
    </w:tbl>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r w:rsidRPr="00E37F72">
        <w:rPr>
          <w:rFonts w:asciiTheme="minorHAnsi" w:hAnsiTheme="minorHAnsi" w:cstheme="minorHAnsi"/>
          <w:b/>
          <w:i w:val="0"/>
          <w:color w:val="auto"/>
          <w:sz w:val="22"/>
          <w:szCs w:val="22"/>
        </w:rPr>
        <w:t xml:space="preserve">READi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ex ante database will be identified in the workpaper. For a full set of values associated with the measures in the workpaper refer </w:t>
      </w:r>
      <w:r w:rsidR="00B27CFE">
        <w:rPr>
          <w:rFonts w:asciiTheme="minorHAnsi" w:hAnsiTheme="minorHAnsi" w:cstheme="minorHAnsi"/>
          <w:i w:val="0"/>
          <w:color w:val="auto"/>
          <w:sz w:val="22"/>
          <w:szCs w:val="22"/>
        </w:rPr>
        <w:t xml:space="preserve">to </w:t>
      </w:r>
      <w:r w:rsidRPr="00240B74">
        <w:rPr>
          <w:rFonts w:asciiTheme="minorHAnsi" w:hAnsiTheme="minorHAnsi" w:cstheme="minorHAnsi"/>
          <w:i w:val="0"/>
          <w:color w:val="auto"/>
          <w:sz w:val="22"/>
          <w:szCs w:val="22"/>
        </w:rPr>
        <w:t xml:space="preserve">the Excel calculation template. </w:t>
      </w:r>
    </w:p>
    <w:p w:rsidR="00240B74" w:rsidRDefault="00240B74" w:rsidP="000968C6">
      <w:pPr>
        <w:pStyle w:val="Reminders"/>
        <w:rPr>
          <w:rFonts w:asciiTheme="minorHAnsi" w:hAnsiTheme="minorHAnsi" w:cstheme="minorHAnsi"/>
          <w:i w:val="0"/>
          <w:color w:val="auto"/>
          <w:sz w:val="22"/>
          <w:szCs w:val="22"/>
        </w:rPr>
      </w:pPr>
    </w:p>
    <w:p w:rsidR="00F15384" w:rsidRDefault="00F15384" w:rsidP="00240B74">
      <w:pPr>
        <w:pStyle w:val="Caption"/>
        <w:jc w:val="center"/>
        <w:rPr>
          <w:rFonts w:asciiTheme="minorHAnsi" w:hAnsiTheme="minorHAnsi" w:cstheme="minorHAnsi"/>
          <w:sz w:val="22"/>
          <w:szCs w:val="22"/>
        </w:rPr>
      </w:pPr>
    </w:p>
    <w:p w:rsidR="00F15384" w:rsidRDefault="00F15384" w:rsidP="00240B74">
      <w:pPr>
        <w:pStyle w:val="Caption"/>
        <w:jc w:val="center"/>
        <w:rPr>
          <w:rFonts w:asciiTheme="minorHAnsi" w:hAnsiTheme="minorHAnsi" w:cstheme="minorHAnsi"/>
          <w:sz w:val="22"/>
          <w:szCs w:val="22"/>
        </w:rPr>
      </w:pPr>
    </w:p>
    <w:p w:rsidR="00F15384" w:rsidRDefault="00F15384" w:rsidP="00240B74">
      <w:pPr>
        <w:pStyle w:val="Caption"/>
        <w:jc w:val="center"/>
        <w:rPr>
          <w:rFonts w:asciiTheme="minorHAnsi" w:hAnsiTheme="minorHAnsi" w:cstheme="minorHAnsi"/>
          <w:sz w:val="22"/>
          <w:szCs w:val="22"/>
        </w:rPr>
      </w:pPr>
    </w:p>
    <w:p w:rsidR="00F15384" w:rsidRDefault="00F15384" w:rsidP="00240B74">
      <w:pPr>
        <w:pStyle w:val="Caption"/>
        <w:jc w:val="center"/>
        <w:rPr>
          <w:rFonts w:asciiTheme="minorHAnsi" w:hAnsiTheme="minorHAnsi" w:cstheme="minorHAnsi"/>
          <w:sz w:val="22"/>
          <w:szCs w:val="22"/>
        </w:rPr>
      </w:pPr>
    </w:p>
    <w:p w:rsidR="00F15384" w:rsidRDefault="00F15384" w:rsidP="00240B74">
      <w:pPr>
        <w:pStyle w:val="Caption"/>
        <w:jc w:val="center"/>
        <w:rPr>
          <w:rFonts w:asciiTheme="minorHAnsi" w:hAnsiTheme="minorHAnsi" w:cstheme="minorHAnsi"/>
          <w:sz w:val="22"/>
          <w:szCs w:val="22"/>
        </w:rPr>
      </w:pPr>
    </w:p>
    <w:p w:rsidR="00F15384" w:rsidRDefault="00F15384" w:rsidP="00240B74">
      <w:pPr>
        <w:pStyle w:val="Caption"/>
        <w:jc w:val="center"/>
        <w:rPr>
          <w:rFonts w:asciiTheme="minorHAnsi" w:hAnsiTheme="minorHAnsi" w:cstheme="minorHAnsi"/>
          <w:sz w:val="22"/>
          <w:szCs w:val="22"/>
        </w:rPr>
      </w:pPr>
    </w:p>
    <w:p w:rsidR="00F15384" w:rsidRDefault="00F15384" w:rsidP="00240B74">
      <w:pPr>
        <w:pStyle w:val="Caption"/>
        <w:jc w:val="center"/>
        <w:rPr>
          <w:rFonts w:asciiTheme="minorHAnsi" w:hAnsiTheme="minorHAnsi" w:cstheme="minorHAnsi"/>
          <w:sz w:val="22"/>
          <w:szCs w:val="22"/>
        </w:rPr>
      </w:pPr>
    </w:p>
    <w:p w:rsidR="00F15384" w:rsidRDefault="00F15384" w:rsidP="00240B74">
      <w:pPr>
        <w:pStyle w:val="Caption"/>
        <w:jc w:val="center"/>
        <w:rPr>
          <w:rFonts w:asciiTheme="minorHAnsi" w:hAnsiTheme="minorHAnsi" w:cstheme="minorHAnsi"/>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lastRenderedPageBreak/>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AF6312">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proofErr w:type="spellStart"/>
      <w:r>
        <w:rPr>
          <w:rFonts w:asciiTheme="minorHAnsi" w:hAnsiTheme="minorHAnsi" w:cstheme="minorHAnsi"/>
          <w:sz w:val="22"/>
          <w:szCs w:val="22"/>
        </w:rPr>
        <w:t>READi</w:t>
      </w:r>
      <w:proofErr w:type="spellEnd"/>
      <w:r>
        <w:rPr>
          <w:rFonts w:asciiTheme="minorHAnsi" w:hAnsiTheme="minorHAnsi" w:cstheme="minorHAnsi"/>
          <w:sz w:val="22"/>
          <w:szCs w:val="22"/>
        </w:rPr>
        <w:t xml:space="preserve">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READi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403ACE"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w:t>
            </w:r>
            <w:r w:rsidR="00240B74" w:rsidRPr="00240B74">
              <w:rPr>
                <w:rFonts w:asciiTheme="minorHAnsi" w:hAnsiTheme="minorHAnsi" w:cstheme="minorHAnsi"/>
                <w:i w:val="0"/>
                <w:color w:val="auto"/>
                <w:sz w:val="20"/>
                <w:szCs w:val="22"/>
              </w:rPr>
              <w:t xml:space="preserve"> Case UseCategory</w:t>
            </w:r>
          </w:p>
        </w:tc>
        <w:tc>
          <w:tcPr>
            <w:tcW w:w="6030" w:type="dxa"/>
          </w:tcPr>
          <w:p w:rsidR="00240B74" w:rsidRPr="00240B74" w:rsidRDefault="0064716E"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Lighting</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UseSubCats</w:t>
            </w:r>
          </w:p>
        </w:tc>
        <w:tc>
          <w:tcPr>
            <w:tcW w:w="6030" w:type="dxa"/>
          </w:tcPr>
          <w:p w:rsidR="00240B74" w:rsidRPr="00240B74" w:rsidRDefault="008D725E" w:rsidP="006811F1">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Indoor General Lighting, Indoor Common Area Lighting</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TechGroups</w:t>
            </w:r>
          </w:p>
        </w:tc>
        <w:tc>
          <w:tcPr>
            <w:tcW w:w="6030" w:type="dxa"/>
          </w:tcPr>
          <w:p w:rsidR="00240B74" w:rsidRPr="00240B74" w:rsidRDefault="008D725E" w:rsidP="00CF29E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Lighting – Fixtures</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TechTypes</w:t>
            </w:r>
          </w:p>
        </w:tc>
        <w:tc>
          <w:tcPr>
            <w:tcW w:w="6030" w:type="dxa"/>
          </w:tcPr>
          <w:p w:rsidR="00240B74" w:rsidRPr="00240B74" w:rsidRDefault="008D725E"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CFL Fixture</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TechGroups</w:t>
            </w:r>
          </w:p>
        </w:tc>
        <w:tc>
          <w:tcPr>
            <w:tcW w:w="6030" w:type="dxa"/>
          </w:tcPr>
          <w:p w:rsidR="00240B74" w:rsidRPr="00240B74" w:rsidRDefault="008D725E"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Lighting – Fixtures</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TechTypes</w:t>
            </w:r>
          </w:p>
        </w:tc>
        <w:tc>
          <w:tcPr>
            <w:tcW w:w="6030" w:type="dxa"/>
          </w:tcPr>
          <w:p w:rsidR="00240B74" w:rsidRPr="00240B74" w:rsidRDefault="008D725E" w:rsidP="0064716E">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HID Fixture, Fixture</w:t>
            </w:r>
          </w:p>
        </w:tc>
      </w:tr>
    </w:tbl>
    <w:p w:rsidR="00240B74" w:rsidRPr="00240B74" w:rsidRDefault="00240B74" w:rsidP="000968C6">
      <w:pPr>
        <w:pStyle w:val="Reminders"/>
        <w:rPr>
          <w:rFonts w:asciiTheme="minorHAnsi" w:hAnsiTheme="minorHAnsi" w:cstheme="minorHAnsi"/>
          <w:i w:val="0"/>
          <w:color w:val="auto"/>
          <w:sz w:val="22"/>
          <w:szCs w:val="22"/>
        </w:rPr>
      </w:pPr>
    </w:p>
    <w:p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0"/>
    </w:p>
    <w:p w:rsidR="00501EBD" w:rsidRPr="003F5041" w:rsidRDefault="00501EBD" w:rsidP="00501EBD">
      <w:pPr>
        <w:autoSpaceDE w:val="0"/>
        <w:autoSpaceDN w:val="0"/>
        <w:adjustRightInd w:val="0"/>
        <w:rPr>
          <w:rFonts w:ascii="Calibri" w:hAnsi="Calibri" w:cs="Calibri"/>
          <w:sz w:val="22"/>
          <w:szCs w:val="22"/>
        </w:rPr>
      </w:pPr>
      <w:r w:rsidRPr="003F5041">
        <w:rPr>
          <w:rFonts w:ascii="Calibri" w:hAnsi="Calibri" w:cs="Calibri"/>
          <w:sz w:val="22"/>
          <w:szCs w:val="22"/>
        </w:rPr>
        <w:t>This measure is not addressed in the Title 20 201</w:t>
      </w:r>
      <w:r w:rsidR="002163E5">
        <w:rPr>
          <w:rFonts w:ascii="Calibri" w:hAnsi="Calibri" w:cs="Calibri"/>
          <w:sz w:val="22"/>
          <w:szCs w:val="22"/>
        </w:rPr>
        <w:t>4</w:t>
      </w:r>
      <w:r w:rsidRPr="003F5041">
        <w:rPr>
          <w:rFonts w:ascii="Calibri" w:hAnsi="Calibri" w:cs="Calibri"/>
          <w:sz w:val="22"/>
          <w:szCs w:val="22"/>
        </w:rPr>
        <w:t xml:space="preserve">Appliance Efficiency Regulations </w:t>
      </w:r>
      <w:r>
        <w:rPr>
          <w:rFonts w:ascii="Calibri" w:hAnsi="Calibri" w:cs="Calibri"/>
          <w:sz w:val="22"/>
          <w:szCs w:val="22"/>
        </w:rPr>
        <w:t>[</w:t>
      </w:r>
      <w:r w:rsidR="002163E5">
        <w:rPr>
          <w:rFonts w:ascii="Calibri" w:hAnsi="Calibri" w:cs="Calibri"/>
          <w:sz w:val="22"/>
          <w:szCs w:val="22"/>
        </w:rPr>
        <w:t>422</w:t>
      </w:r>
      <w:r>
        <w:rPr>
          <w:rFonts w:ascii="Calibri" w:hAnsi="Calibri" w:cs="Calibri"/>
          <w:sz w:val="22"/>
          <w:szCs w:val="22"/>
        </w:rPr>
        <w:t>]</w:t>
      </w:r>
      <w:r w:rsidRPr="003F5041">
        <w:rPr>
          <w:rFonts w:ascii="Calibri" w:hAnsi="Calibri" w:cs="Calibri"/>
          <w:sz w:val="22"/>
          <w:szCs w:val="22"/>
        </w:rPr>
        <w:t>.</w:t>
      </w:r>
    </w:p>
    <w:p w:rsidR="00501EBD" w:rsidRPr="003F5041" w:rsidRDefault="00501EBD" w:rsidP="00501EBD">
      <w:pPr>
        <w:autoSpaceDE w:val="0"/>
        <w:autoSpaceDN w:val="0"/>
        <w:adjustRightInd w:val="0"/>
        <w:rPr>
          <w:rFonts w:ascii="Calibri" w:hAnsi="Calibri" w:cs="Calibri"/>
          <w:sz w:val="22"/>
          <w:szCs w:val="22"/>
        </w:rPr>
      </w:pPr>
    </w:p>
    <w:p w:rsidR="00501EBD" w:rsidRDefault="00501EBD" w:rsidP="00501EBD">
      <w:pPr>
        <w:autoSpaceDE w:val="0"/>
        <w:autoSpaceDN w:val="0"/>
        <w:adjustRightInd w:val="0"/>
        <w:rPr>
          <w:rFonts w:ascii="Calibri" w:hAnsi="Calibri" w:cs="Calibri"/>
          <w:sz w:val="22"/>
          <w:szCs w:val="22"/>
        </w:rPr>
      </w:pPr>
      <w:r w:rsidRPr="003F5041">
        <w:rPr>
          <w:rFonts w:ascii="Calibri" w:hAnsi="Calibri" w:cs="Calibri"/>
          <w:sz w:val="22"/>
          <w:szCs w:val="22"/>
        </w:rPr>
        <w:t>In Section 140.0(b</w:t>
      </w:r>
      <w:proofErr w:type="gramStart"/>
      <w:r w:rsidRPr="003F5041">
        <w:rPr>
          <w:rFonts w:ascii="Calibri" w:hAnsi="Calibri" w:cs="Calibri"/>
          <w:sz w:val="22"/>
          <w:szCs w:val="22"/>
        </w:rPr>
        <w:t>)2I</w:t>
      </w:r>
      <w:proofErr w:type="gramEnd"/>
      <w:r w:rsidRPr="003F5041">
        <w:rPr>
          <w:rFonts w:ascii="Calibri" w:hAnsi="Calibri" w:cs="Calibri"/>
          <w:sz w:val="22"/>
          <w:szCs w:val="22"/>
        </w:rPr>
        <w:t xml:space="preserve"> ii and iii of California’s Title 24 2013 Non-Residential Buildi</w:t>
      </w:r>
      <w:r w:rsidR="005A47F3">
        <w:rPr>
          <w:rFonts w:ascii="Calibri" w:hAnsi="Calibri" w:cs="Calibri"/>
          <w:sz w:val="22"/>
          <w:szCs w:val="22"/>
        </w:rPr>
        <w:t>ng Energy Efficiency Standards [</w:t>
      </w:r>
      <w:r w:rsidR="00AF36AE">
        <w:rPr>
          <w:rFonts w:ascii="Calibri" w:hAnsi="Calibri" w:cs="Calibri"/>
          <w:sz w:val="22"/>
          <w:szCs w:val="22"/>
        </w:rPr>
        <w:t>355</w:t>
      </w:r>
      <w:r w:rsidR="005A47F3">
        <w:rPr>
          <w:rFonts w:ascii="Calibri" w:hAnsi="Calibri" w:cs="Calibri"/>
          <w:sz w:val="22"/>
          <w:szCs w:val="22"/>
        </w:rPr>
        <w:t>]</w:t>
      </w:r>
      <w:r w:rsidRPr="003F5041">
        <w:rPr>
          <w:rFonts w:ascii="Calibri" w:hAnsi="Calibri" w:cs="Calibri"/>
          <w:sz w:val="22"/>
          <w:szCs w:val="22"/>
        </w:rPr>
        <w:t>, the Alteration codes and standards language states</w:t>
      </w:r>
      <w:r>
        <w:rPr>
          <w:rFonts w:ascii="Calibri" w:hAnsi="Calibri" w:cs="Calibri"/>
          <w:sz w:val="22"/>
          <w:szCs w:val="22"/>
        </w:rPr>
        <w:t>:</w:t>
      </w:r>
    </w:p>
    <w:p w:rsidR="00501EBD" w:rsidRDefault="00501EBD" w:rsidP="00501EBD">
      <w:pPr>
        <w:autoSpaceDE w:val="0"/>
        <w:autoSpaceDN w:val="0"/>
        <w:adjustRightInd w:val="0"/>
        <w:rPr>
          <w:rFonts w:ascii="TimesNewRomanPSMT" w:eastAsiaTheme="minorHAnsi" w:hAnsi="TimesNewRomanPSMT" w:cs="TimesNewRomanPSMT"/>
          <w:sz w:val="20"/>
          <w:szCs w:val="20"/>
        </w:rPr>
      </w:pPr>
    </w:p>
    <w:p w:rsidR="00501EBD" w:rsidRPr="00D02E5B" w:rsidRDefault="00501EBD" w:rsidP="00501EBD">
      <w:pPr>
        <w:autoSpaceDE w:val="0"/>
        <w:autoSpaceDN w:val="0"/>
        <w:adjustRightInd w:val="0"/>
        <w:rPr>
          <w:rFonts w:asciiTheme="minorHAnsi" w:eastAsiaTheme="minorHAnsi" w:hAnsiTheme="minorHAnsi" w:cs="TimesNewRomanPSMT"/>
          <w:sz w:val="22"/>
          <w:szCs w:val="22"/>
        </w:rPr>
      </w:pPr>
      <w:r w:rsidRPr="00D02E5B">
        <w:rPr>
          <w:rFonts w:asciiTheme="minorHAnsi" w:eastAsiaTheme="minorHAnsi" w:hAnsiTheme="minorHAnsi" w:cs="TimesNewRomanPS-BoldMT"/>
          <w:b/>
          <w:bCs/>
          <w:sz w:val="22"/>
          <w:szCs w:val="22"/>
        </w:rPr>
        <w:t xml:space="preserve">Lighting System Alterations </w:t>
      </w:r>
      <w:r w:rsidRPr="00D02E5B">
        <w:rPr>
          <w:rFonts w:asciiTheme="minorHAnsi" w:eastAsiaTheme="minorHAnsi" w:hAnsiTheme="minorHAnsi" w:cs="TimesNewRomanPSMT"/>
          <w:sz w:val="22"/>
          <w:szCs w:val="22"/>
        </w:rPr>
        <w:t>shall meet the applicable requirements in TABLE 141.0-E and the</w:t>
      </w:r>
      <w:r>
        <w:rPr>
          <w:rFonts w:asciiTheme="minorHAnsi" w:eastAsiaTheme="minorHAnsi" w:hAnsiTheme="minorHAnsi" w:cs="TimesNewRomanPSMT"/>
          <w:sz w:val="22"/>
          <w:szCs w:val="22"/>
        </w:rPr>
        <w:t xml:space="preserve"> </w:t>
      </w:r>
      <w:r w:rsidRPr="00D02E5B">
        <w:rPr>
          <w:rFonts w:asciiTheme="minorHAnsi" w:eastAsiaTheme="minorHAnsi" w:hAnsiTheme="minorHAnsi" w:cs="TimesNewRomanPSMT"/>
          <w:sz w:val="22"/>
          <w:szCs w:val="22"/>
        </w:rPr>
        <w:t>following:</w:t>
      </w:r>
    </w:p>
    <w:p w:rsidR="00501EBD" w:rsidRPr="00D02E5B" w:rsidRDefault="00501EBD" w:rsidP="00501EBD">
      <w:pPr>
        <w:pStyle w:val="ListParagraph"/>
        <w:numPr>
          <w:ilvl w:val="0"/>
          <w:numId w:val="9"/>
        </w:numPr>
        <w:autoSpaceDE w:val="0"/>
        <w:autoSpaceDN w:val="0"/>
        <w:adjustRightInd w:val="0"/>
        <w:rPr>
          <w:rFonts w:asciiTheme="minorHAnsi" w:eastAsiaTheme="minorHAnsi" w:hAnsiTheme="minorHAnsi" w:cs="TimesNewRomanPSMT"/>
          <w:sz w:val="22"/>
          <w:szCs w:val="22"/>
        </w:rPr>
      </w:pPr>
      <w:r w:rsidRPr="00D02E5B">
        <w:rPr>
          <w:rFonts w:asciiTheme="minorHAnsi" w:eastAsiaTheme="minorHAnsi" w:hAnsiTheme="minorHAnsi" w:cs="TimesNewRomanPSMT"/>
          <w:sz w:val="22"/>
          <w:szCs w:val="22"/>
        </w:rPr>
        <w:t>Lighting System Alterations include alterations where an existing lighting system is modified, luminaires are replaced, or luminaires are disconnected from the circuit, removed and reinstalled,</w:t>
      </w:r>
      <w:r>
        <w:rPr>
          <w:rFonts w:asciiTheme="minorHAnsi" w:eastAsiaTheme="minorHAnsi" w:hAnsiTheme="minorHAnsi" w:cs="TimesNewRomanPSMT"/>
          <w:sz w:val="22"/>
          <w:szCs w:val="22"/>
        </w:rPr>
        <w:t xml:space="preserve"> </w:t>
      </w:r>
      <w:r w:rsidRPr="00D02E5B">
        <w:rPr>
          <w:rFonts w:asciiTheme="minorHAnsi" w:eastAsiaTheme="minorHAnsi" w:hAnsiTheme="minorHAnsi" w:cs="TimesNewRomanPSMT"/>
          <w:sz w:val="22"/>
          <w:szCs w:val="22"/>
        </w:rPr>
        <w:t>whether in the same location or installed elsewhere.</w:t>
      </w:r>
    </w:p>
    <w:p w:rsidR="00501EBD" w:rsidRPr="00D02E5B" w:rsidRDefault="00501EBD" w:rsidP="00501EBD">
      <w:pPr>
        <w:autoSpaceDE w:val="0"/>
        <w:autoSpaceDN w:val="0"/>
        <w:adjustRightInd w:val="0"/>
        <w:rPr>
          <w:rFonts w:asciiTheme="minorHAnsi" w:eastAsiaTheme="minorHAnsi" w:hAnsiTheme="minorHAnsi" w:cs="TimesNewRomanPSMT"/>
          <w:sz w:val="22"/>
          <w:szCs w:val="22"/>
        </w:rPr>
      </w:pPr>
      <w:r w:rsidRPr="00D02E5B">
        <w:rPr>
          <w:rFonts w:asciiTheme="minorHAnsi" w:eastAsiaTheme="minorHAnsi" w:hAnsiTheme="minorHAnsi" w:cs="TimesNewRomanPS-BoldMT"/>
          <w:b/>
          <w:bCs/>
          <w:sz w:val="22"/>
          <w:szCs w:val="22"/>
        </w:rPr>
        <w:t xml:space="preserve">EXCEPTION 1 to Section 141.0(b)2Iii: </w:t>
      </w:r>
      <w:r w:rsidRPr="00D02E5B">
        <w:rPr>
          <w:rFonts w:asciiTheme="minorHAnsi" w:eastAsiaTheme="minorHAnsi" w:hAnsiTheme="minorHAnsi" w:cs="TimesNewRomanPSMT"/>
          <w:sz w:val="22"/>
          <w:szCs w:val="22"/>
        </w:rPr>
        <w:t>Alterations that qualify as a Luminaire Modification-in-</w:t>
      </w:r>
    </w:p>
    <w:p w:rsidR="00501EBD" w:rsidRPr="00D02E5B" w:rsidRDefault="00501EBD" w:rsidP="00501EBD">
      <w:pPr>
        <w:autoSpaceDE w:val="0"/>
        <w:autoSpaceDN w:val="0"/>
        <w:adjustRightInd w:val="0"/>
        <w:rPr>
          <w:rFonts w:asciiTheme="minorHAnsi" w:eastAsiaTheme="minorHAnsi" w:hAnsiTheme="minorHAnsi" w:cs="TimesNewRomanPSMT"/>
          <w:sz w:val="22"/>
          <w:szCs w:val="22"/>
        </w:rPr>
      </w:pPr>
      <w:r w:rsidRPr="00D02E5B">
        <w:rPr>
          <w:rFonts w:asciiTheme="minorHAnsi" w:eastAsiaTheme="minorHAnsi" w:hAnsiTheme="minorHAnsi" w:cs="TimesNewRomanPSMT"/>
          <w:sz w:val="22"/>
          <w:szCs w:val="22"/>
        </w:rPr>
        <w:t>Place.</w:t>
      </w:r>
    </w:p>
    <w:p w:rsidR="00501EBD" w:rsidRPr="00D02E5B" w:rsidRDefault="00501EBD" w:rsidP="00501EBD">
      <w:pPr>
        <w:autoSpaceDE w:val="0"/>
        <w:autoSpaceDN w:val="0"/>
        <w:adjustRightInd w:val="0"/>
        <w:rPr>
          <w:rFonts w:asciiTheme="minorHAnsi" w:eastAsiaTheme="minorHAnsi" w:hAnsiTheme="minorHAnsi" w:cs="TimesNewRomanPSMT"/>
          <w:sz w:val="22"/>
          <w:szCs w:val="22"/>
        </w:rPr>
      </w:pPr>
      <w:r w:rsidRPr="00D02E5B">
        <w:rPr>
          <w:rFonts w:asciiTheme="minorHAnsi" w:eastAsiaTheme="minorHAnsi" w:hAnsiTheme="minorHAnsi" w:cs="TimesNewRomanPS-BoldMT"/>
          <w:b/>
          <w:bCs/>
          <w:sz w:val="22"/>
          <w:szCs w:val="22"/>
        </w:rPr>
        <w:t xml:space="preserve">EXCEPTION 2 to Section 141.0(b)2Iii: </w:t>
      </w:r>
      <w:r w:rsidRPr="00D02E5B">
        <w:rPr>
          <w:rFonts w:asciiTheme="minorHAnsi" w:eastAsiaTheme="minorHAnsi" w:hAnsiTheme="minorHAnsi" w:cs="TimesNewRomanPSMT"/>
          <w:sz w:val="22"/>
          <w:szCs w:val="22"/>
        </w:rPr>
        <w:t>Portable luminaires, luminaires affixed to moveable</w:t>
      </w:r>
      <w:r>
        <w:rPr>
          <w:rFonts w:asciiTheme="minorHAnsi" w:eastAsiaTheme="minorHAnsi" w:hAnsiTheme="minorHAnsi" w:cs="TimesNewRomanPSMT"/>
          <w:sz w:val="22"/>
          <w:szCs w:val="22"/>
        </w:rPr>
        <w:t xml:space="preserve"> </w:t>
      </w:r>
      <w:r w:rsidRPr="00D02E5B">
        <w:rPr>
          <w:rFonts w:asciiTheme="minorHAnsi" w:eastAsiaTheme="minorHAnsi" w:hAnsiTheme="minorHAnsi" w:cs="TimesNewRomanPSMT"/>
          <w:sz w:val="22"/>
          <w:szCs w:val="22"/>
        </w:rPr>
        <w:t>partitions, and lighting excluded in accordance to Section 140.6(a)3.</w:t>
      </w:r>
    </w:p>
    <w:p w:rsidR="00501EBD" w:rsidRPr="00D02E5B" w:rsidRDefault="00501EBD" w:rsidP="00501EBD">
      <w:pPr>
        <w:autoSpaceDE w:val="0"/>
        <w:autoSpaceDN w:val="0"/>
        <w:adjustRightInd w:val="0"/>
        <w:rPr>
          <w:rFonts w:asciiTheme="minorHAnsi" w:eastAsiaTheme="minorHAnsi" w:hAnsiTheme="minorHAnsi" w:cs="TimesNewRomanPSMT"/>
          <w:sz w:val="22"/>
          <w:szCs w:val="22"/>
        </w:rPr>
      </w:pPr>
    </w:p>
    <w:p w:rsidR="00501EBD" w:rsidRPr="00D02E5B" w:rsidRDefault="00501EBD" w:rsidP="00501EBD">
      <w:pPr>
        <w:autoSpaceDE w:val="0"/>
        <w:autoSpaceDN w:val="0"/>
        <w:adjustRightInd w:val="0"/>
        <w:rPr>
          <w:rFonts w:asciiTheme="minorHAnsi" w:eastAsiaTheme="minorHAnsi" w:hAnsiTheme="minorHAnsi" w:cs="TimesNewRomanPSMT"/>
          <w:sz w:val="22"/>
          <w:szCs w:val="22"/>
        </w:rPr>
      </w:pPr>
      <w:r w:rsidRPr="00D02E5B">
        <w:rPr>
          <w:rFonts w:asciiTheme="minorHAnsi" w:eastAsiaTheme="minorHAnsi" w:hAnsiTheme="minorHAnsi" w:cs="TimesNewRomanPS-BoldMT"/>
          <w:b/>
          <w:bCs/>
          <w:sz w:val="22"/>
          <w:szCs w:val="22"/>
        </w:rPr>
        <w:t xml:space="preserve">Luminaire Modifications-in-Place </w:t>
      </w:r>
      <w:r w:rsidRPr="00D02E5B">
        <w:rPr>
          <w:rFonts w:asciiTheme="minorHAnsi" w:eastAsiaTheme="minorHAnsi" w:hAnsiTheme="minorHAnsi" w:cs="TimesNewRomanPSMT"/>
          <w:sz w:val="22"/>
          <w:szCs w:val="22"/>
        </w:rPr>
        <w:t>shall meet the applicable requirements in TABLE 141.0-F and the</w:t>
      </w:r>
      <w:r>
        <w:rPr>
          <w:rFonts w:asciiTheme="minorHAnsi" w:eastAsiaTheme="minorHAnsi" w:hAnsiTheme="minorHAnsi" w:cs="TimesNewRomanPSMT"/>
          <w:sz w:val="22"/>
          <w:szCs w:val="22"/>
        </w:rPr>
        <w:t xml:space="preserve"> </w:t>
      </w:r>
      <w:r w:rsidRPr="00D02E5B">
        <w:rPr>
          <w:rFonts w:asciiTheme="minorHAnsi" w:eastAsiaTheme="minorHAnsi" w:hAnsiTheme="minorHAnsi" w:cs="TimesNewRomanPSMT"/>
          <w:sz w:val="22"/>
          <w:szCs w:val="22"/>
        </w:rPr>
        <w:t>following:</w:t>
      </w:r>
    </w:p>
    <w:p w:rsidR="00501EBD" w:rsidRDefault="00501EBD" w:rsidP="00501EBD">
      <w:pPr>
        <w:pStyle w:val="ListParagraph"/>
        <w:numPr>
          <w:ilvl w:val="0"/>
          <w:numId w:val="10"/>
        </w:numPr>
        <w:autoSpaceDE w:val="0"/>
        <w:autoSpaceDN w:val="0"/>
        <w:adjustRightInd w:val="0"/>
        <w:rPr>
          <w:rFonts w:asciiTheme="minorHAnsi" w:eastAsiaTheme="minorHAnsi" w:hAnsiTheme="minorHAnsi" w:cs="TimesNewRomanPSMT"/>
          <w:sz w:val="22"/>
          <w:szCs w:val="22"/>
        </w:rPr>
      </w:pPr>
      <w:r w:rsidRPr="00D02E5B">
        <w:rPr>
          <w:rFonts w:asciiTheme="minorHAnsi" w:eastAsiaTheme="minorHAnsi" w:hAnsiTheme="minorHAnsi" w:cs="TimesNewRomanPSMT"/>
          <w:sz w:val="22"/>
          <w:szCs w:val="22"/>
        </w:rPr>
        <w:t>To qualify as a Luminaire Modification-in-Place, luminaires shall only be modified by one or more</w:t>
      </w:r>
      <w:r>
        <w:rPr>
          <w:rFonts w:asciiTheme="minorHAnsi" w:eastAsiaTheme="minorHAnsi" w:hAnsiTheme="minorHAnsi" w:cs="TimesNewRomanPSMT"/>
          <w:sz w:val="22"/>
          <w:szCs w:val="22"/>
        </w:rPr>
        <w:t xml:space="preserve"> </w:t>
      </w:r>
      <w:r w:rsidRPr="00D02E5B">
        <w:rPr>
          <w:rFonts w:asciiTheme="minorHAnsi" w:eastAsiaTheme="minorHAnsi" w:hAnsiTheme="minorHAnsi" w:cs="TimesNewRomanPSMT"/>
          <w:sz w:val="22"/>
          <w:szCs w:val="22"/>
        </w:rPr>
        <w:t>of the following methods:</w:t>
      </w:r>
    </w:p>
    <w:p w:rsidR="00501EBD" w:rsidRDefault="00501EBD" w:rsidP="00501EBD">
      <w:pPr>
        <w:pStyle w:val="ListParagraph"/>
        <w:numPr>
          <w:ilvl w:val="1"/>
          <w:numId w:val="10"/>
        </w:numPr>
        <w:autoSpaceDE w:val="0"/>
        <w:autoSpaceDN w:val="0"/>
        <w:adjustRightInd w:val="0"/>
        <w:rPr>
          <w:rFonts w:asciiTheme="minorHAnsi" w:eastAsiaTheme="minorHAnsi" w:hAnsiTheme="minorHAnsi" w:cs="TimesNewRomanPSMT"/>
          <w:sz w:val="22"/>
          <w:szCs w:val="22"/>
        </w:rPr>
      </w:pPr>
      <w:r w:rsidRPr="00D02E5B">
        <w:rPr>
          <w:rFonts w:asciiTheme="minorHAnsi" w:eastAsiaTheme="minorHAnsi" w:hAnsiTheme="minorHAnsi" w:cs="TimesNewRomanPSMT"/>
          <w:sz w:val="22"/>
          <w:szCs w:val="22"/>
        </w:rPr>
        <w:t>Replacing lamps and ballasts with like type or quantity in a manner that preserves the original luminaire listing.</w:t>
      </w:r>
    </w:p>
    <w:p w:rsidR="00501EBD" w:rsidRDefault="00501EBD" w:rsidP="00501EBD">
      <w:pPr>
        <w:pStyle w:val="ListParagraph"/>
        <w:numPr>
          <w:ilvl w:val="1"/>
          <w:numId w:val="10"/>
        </w:numPr>
        <w:autoSpaceDE w:val="0"/>
        <w:autoSpaceDN w:val="0"/>
        <w:adjustRightInd w:val="0"/>
        <w:rPr>
          <w:rFonts w:asciiTheme="minorHAnsi" w:eastAsiaTheme="minorHAnsi" w:hAnsiTheme="minorHAnsi" w:cs="TimesNewRomanPSMT"/>
          <w:sz w:val="22"/>
          <w:szCs w:val="22"/>
        </w:rPr>
      </w:pPr>
      <w:r w:rsidRPr="00D02E5B">
        <w:rPr>
          <w:rFonts w:asciiTheme="minorHAnsi" w:eastAsiaTheme="minorHAnsi" w:hAnsiTheme="minorHAnsi" w:cs="TimesNewRomanPSMT"/>
          <w:sz w:val="22"/>
          <w:szCs w:val="22"/>
        </w:rPr>
        <w:t>Changing the number or type of light source in a luminaire including: socket renewal, removal or relocation of sockets or lampholders, and/or related wiring internal to the luminaire including the addition of safety disconnecting devices.</w:t>
      </w:r>
    </w:p>
    <w:p w:rsidR="00501EBD" w:rsidRDefault="00501EBD" w:rsidP="00501EBD">
      <w:pPr>
        <w:pStyle w:val="ListParagraph"/>
        <w:numPr>
          <w:ilvl w:val="1"/>
          <w:numId w:val="10"/>
        </w:numPr>
        <w:autoSpaceDE w:val="0"/>
        <w:autoSpaceDN w:val="0"/>
        <w:adjustRightInd w:val="0"/>
        <w:rPr>
          <w:rFonts w:asciiTheme="minorHAnsi" w:eastAsiaTheme="minorHAnsi" w:hAnsiTheme="minorHAnsi" w:cs="TimesNewRomanPSMT"/>
          <w:sz w:val="22"/>
          <w:szCs w:val="22"/>
        </w:rPr>
      </w:pPr>
      <w:r w:rsidRPr="00D02E5B">
        <w:rPr>
          <w:rFonts w:asciiTheme="minorHAnsi" w:eastAsiaTheme="minorHAnsi" w:hAnsiTheme="minorHAnsi" w:cs="TimesNewRomanPSMT"/>
          <w:sz w:val="22"/>
          <w:szCs w:val="22"/>
        </w:rPr>
        <w:t>Changing the optical system of a luminaire in part or in whole.</w:t>
      </w:r>
    </w:p>
    <w:p w:rsidR="00501EBD" w:rsidRDefault="00501EBD" w:rsidP="00501EBD">
      <w:pPr>
        <w:pStyle w:val="ListParagraph"/>
        <w:numPr>
          <w:ilvl w:val="1"/>
          <w:numId w:val="10"/>
        </w:numPr>
        <w:autoSpaceDE w:val="0"/>
        <w:autoSpaceDN w:val="0"/>
        <w:adjustRightInd w:val="0"/>
        <w:rPr>
          <w:rFonts w:asciiTheme="minorHAnsi" w:eastAsiaTheme="minorHAnsi" w:hAnsiTheme="minorHAnsi" w:cs="TimesNewRomanPSMT"/>
          <w:sz w:val="22"/>
          <w:szCs w:val="22"/>
        </w:rPr>
      </w:pPr>
      <w:r w:rsidRPr="00D02E5B">
        <w:rPr>
          <w:rFonts w:asciiTheme="minorHAnsi" w:eastAsiaTheme="minorHAnsi" w:hAnsiTheme="minorHAnsi" w:cs="TimesNewRomanPSMT"/>
          <w:sz w:val="22"/>
          <w:szCs w:val="22"/>
        </w:rPr>
        <w:t>Replacement of whole luminaires one for one in which the only electrical modification involves</w:t>
      </w:r>
      <w:r>
        <w:rPr>
          <w:rFonts w:asciiTheme="minorHAnsi" w:eastAsiaTheme="minorHAnsi" w:hAnsiTheme="minorHAnsi" w:cs="TimesNewRomanPSMT"/>
          <w:sz w:val="22"/>
          <w:szCs w:val="22"/>
        </w:rPr>
        <w:t xml:space="preserve"> </w:t>
      </w:r>
      <w:r w:rsidRPr="00D02E5B">
        <w:rPr>
          <w:rFonts w:asciiTheme="minorHAnsi" w:eastAsiaTheme="minorHAnsi" w:hAnsiTheme="minorHAnsi" w:cs="TimesNewRomanPSMT"/>
          <w:sz w:val="22"/>
          <w:szCs w:val="22"/>
        </w:rPr>
        <w:t>disconnecting the existing luminaire and reconnecting the replacement luminaire.</w:t>
      </w:r>
    </w:p>
    <w:p w:rsidR="00501EBD" w:rsidRDefault="00501EBD" w:rsidP="00501EBD">
      <w:pPr>
        <w:pStyle w:val="ListParagraph"/>
        <w:numPr>
          <w:ilvl w:val="0"/>
          <w:numId w:val="10"/>
        </w:numPr>
        <w:autoSpaceDE w:val="0"/>
        <w:autoSpaceDN w:val="0"/>
        <w:adjustRightInd w:val="0"/>
        <w:rPr>
          <w:rFonts w:asciiTheme="minorHAnsi" w:eastAsiaTheme="minorHAnsi" w:hAnsiTheme="minorHAnsi" w:cs="TimesNewRomanPSMT"/>
          <w:sz w:val="22"/>
          <w:szCs w:val="22"/>
        </w:rPr>
      </w:pPr>
      <w:r w:rsidRPr="00D02E5B">
        <w:rPr>
          <w:rFonts w:asciiTheme="minorHAnsi" w:eastAsiaTheme="minorHAnsi" w:hAnsiTheme="minorHAnsi" w:cs="TimesNewRomanPSMT"/>
          <w:sz w:val="22"/>
          <w:szCs w:val="22"/>
        </w:rPr>
        <w:t>Luminaire Modifications-In-Place shall include only alterations to lighting system meeting the following conditions:</w:t>
      </w:r>
    </w:p>
    <w:p w:rsidR="00501EBD" w:rsidRDefault="00501EBD" w:rsidP="00501EBD">
      <w:pPr>
        <w:pStyle w:val="ListParagraph"/>
        <w:numPr>
          <w:ilvl w:val="1"/>
          <w:numId w:val="10"/>
        </w:numPr>
        <w:autoSpaceDE w:val="0"/>
        <w:autoSpaceDN w:val="0"/>
        <w:adjustRightInd w:val="0"/>
        <w:rPr>
          <w:rFonts w:asciiTheme="minorHAnsi" w:eastAsiaTheme="minorHAnsi" w:hAnsiTheme="minorHAnsi" w:cs="TimesNewRomanPSMT"/>
          <w:sz w:val="22"/>
          <w:szCs w:val="22"/>
        </w:rPr>
      </w:pPr>
      <w:r w:rsidRPr="00D02E5B">
        <w:rPr>
          <w:rFonts w:asciiTheme="minorHAnsi" w:eastAsiaTheme="minorHAnsi" w:hAnsiTheme="minorHAnsi" w:cs="TimesNewRomanPSMT"/>
          <w:sz w:val="22"/>
          <w:szCs w:val="22"/>
        </w:rPr>
        <w:t>Luminaire Modifications-in-Place shall not be part of or the result of any general remodeling or renovation of the enclosed space in which they are located.</w:t>
      </w:r>
    </w:p>
    <w:p w:rsidR="00501EBD" w:rsidRPr="00D02E5B" w:rsidRDefault="00501EBD" w:rsidP="00501EBD">
      <w:pPr>
        <w:pStyle w:val="ListParagraph"/>
        <w:numPr>
          <w:ilvl w:val="1"/>
          <w:numId w:val="10"/>
        </w:numPr>
        <w:autoSpaceDE w:val="0"/>
        <w:autoSpaceDN w:val="0"/>
        <w:adjustRightInd w:val="0"/>
        <w:rPr>
          <w:rFonts w:asciiTheme="minorHAnsi" w:eastAsiaTheme="minorHAnsi" w:hAnsiTheme="minorHAnsi" w:cs="TimesNewRomanPSMT"/>
          <w:sz w:val="22"/>
          <w:szCs w:val="22"/>
        </w:rPr>
      </w:pPr>
      <w:r w:rsidRPr="00D02E5B">
        <w:rPr>
          <w:rFonts w:asciiTheme="minorHAnsi" w:eastAsiaTheme="minorHAnsi" w:hAnsiTheme="minorHAnsi" w:cs="TimesNewRomanPSMT"/>
          <w:sz w:val="22"/>
          <w:szCs w:val="22"/>
        </w:rPr>
        <w:t xml:space="preserve">Luminaire Modifications-in-Place shall not cause, be the result of, or involve any changes to the panelboard or branch circuit wiring, including line voltage switches, </w:t>
      </w:r>
      <w:r w:rsidRPr="00D02E5B">
        <w:rPr>
          <w:rFonts w:asciiTheme="minorHAnsi" w:eastAsiaTheme="minorHAnsi" w:hAnsiTheme="minorHAnsi" w:cs="TimesNewRomanPSMT"/>
          <w:sz w:val="22"/>
          <w:szCs w:val="22"/>
        </w:rPr>
        <w:lastRenderedPageBreak/>
        <w:t>relays, contactors,</w:t>
      </w:r>
      <w:r>
        <w:rPr>
          <w:rFonts w:asciiTheme="minorHAnsi" w:eastAsiaTheme="minorHAnsi" w:hAnsiTheme="minorHAnsi" w:cs="TimesNewRomanPSMT"/>
          <w:sz w:val="22"/>
          <w:szCs w:val="22"/>
        </w:rPr>
        <w:t xml:space="preserve"> </w:t>
      </w:r>
      <w:r w:rsidRPr="00D02E5B">
        <w:rPr>
          <w:rFonts w:asciiTheme="minorHAnsi" w:eastAsiaTheme="minorHAnsi" w:hAnsiTheme="minorHAnsi" w:cs="TimesNewRomanPSMT"/>
          <w:sz w:val="22"/>
          <w:szCs w:val="22"/>
        </w:rPr>
        <w:t>dimmers and other control devices, providing power to the lighting system.</w:t>
      </w:r>
    </w:p>
    <w:p w:rsidR="00501EBD" w:rsidRPr="00D02E5B" w:rsidRDefault="00501EBD" w:rsidP="00501EBD">
      <w:pPr>
        <w:autoSpaceDE w:val="0"/>
        <w:autoSpaceDN w:val="0"/>
        <w:adjustRightInd w:val="0"/>
        <w:rPr>
          <w:rFonts w:asciiTheme="minorHAnsi" w:eastAsiaTheme="minorHAnsi" w:hAnsiTheme="minorHAnsi" w:cs="TimesNewRomanPSMT"/>
          <w:sz w:val="22"/>
          <w:szCs w:val="22"/>
        </w:rPr>
      </w:pPr>
      <w:r w:rsidRPr="00D02E5B">
        <w:rPr>
          <w:rFonts w:asciiTheme="minorHAnsi" w:eastAsiaTheme="minorHAnsi" w:hAnsiTheme="minorHAnsi" w:cs="TimesNewRomanPS-BoldMT"/>
          <w:b/>
          <w:bCs/>
          <w:sz w:val="22"/>
          <w:szCs w:val="22"/>
        </w:rPr>
        <w:t xml:space="preserve">EXCEPTION to Section 141.0(b)2Iiii2. </w:t>
      </w:r>
      <w:r w:rsidRPr="00D02E5B">
        <w:rPr>
          <w:rFonts w:asciiTheme="minorHAnsi" w:eastAsiaTheme="minorHAnsi" w:hAnsiTheme="minorHAnsi" w:cs="TimesNewRomanPSMT"/>
          <w:sz w:val="22"/>
          <w:szCs w:val="22"/>
        </w:rPr>
        <w:t>Circuit modifications strictly limited to the addition</w:t>
      </w:r>
    </w:p>
    <w:p w:rsidR="00501EBD" w:rsidRPr="00D02E5B" w:rsidRDefault="00501EBD" w:rsidP="00501EBD">
      <w:pPr>
        <w:autoSpaceDE w:val="0"/>
        <w:autoSpaceDN w:val="0"/>
        <w:adjustRightInd w:val="0"/>
        <w:rPr>
          <w:rFonts w:asciiTheme="minorHAnsi" w:hAnsiTheme="minorHAnsi" w:cs="Calibri"/>
          <w:sz w:val="22"/>
          <w:szCs w:val="22"/>
        </w:rPr>
      </w:pPr>
      <w:r w:rsidRPr="00D02E5B">
        <w:rPr>
          <w:rFonts w:asciiTheme="minorHAnsi" w:eastAsiaTheme="minorHAnsi" w:hAnsiTheme="minorHAnsi" w:cs="TimesNewRomanPSMT"/>
          <w:sz w:val="22"/>
          <w:szCs w:val="22"/>
        </w:rPr>
        <w:t>of occupancy or vacancy sensors</w:t>
      </w:r>
    </w:p>
    <w:p w:rsidR="00B07EE5" w:rsidRPr="00697868" w:rsidRDefault="00B07EE5" w:rsidP="00B07EE5">
      <w:pPr>
        <w:rPr>
          <w:rFonts w:asciiTheme="minorHAnsi" w:hAnsiTheme="minorHAnsi" w:cstheme="minorHAnsi"/>
          <w:sz w:val="22"/>
          <w:szCs w:val="22"/>
        </w:rPr>
      </w:pPr>
    </w:p>
    <w:p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AF6312">
        <w:rPr>
          <w:rFonts w:asciiTheme="minorHAnsi" w:hAnsiTheme="minorHAnsi" w:cstheme="minorHAnsi"/>
          <w:noProof/>
          <w:sz w:val="22"/>
          <w:szCs w:val="22"/>
        </w:rPr>
        <w:t>6</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697868"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501EBD"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501EBD" w:rsidRPr="004648BC" w:rsidRDefault="00501EBD" w:rsidP="006811F1">
            <w:pPr>
              <w:jc w:val="center"/>
              <w:rPr>
                <w:rFonts w:ascii="Calibri" w:hAnsi="Calibri" w:cs="Calibri"/>
                <w:sz w:val="20"/>
                <w:szCs w:val="20"/>
              </w:rPr>
            </w:pPr>
            <w:r>
              <w:rPr>
                <w:rFonts w:ascii="Calibri" w:hAnsi="Calibri" w:cs="Calibri"/>
                <w:sz w:val="20"/>
                <w:szCs w:val="20"/>
              </w:rPr>
              <w:t>Title 24 (2013</w:t>
            </w:r>
            <w:r w:rsidRPr="004648BC">
              <w:rPr>
                <w:rFonts w:ascii="Calibri" w:hAnsi="Calibri" w:cs="Calibri"/>
                <w:sz w:val="20"/>
                <w:szCs w:val="20"/>
              </w:rPr>
              <w:t>)</w:t>
            </w:r>
          </w:p>
        </w:tc>
        <w:tc>
          <w:tcPr>
            <w:tcW w:w="4352" w:type="dxa"/>
            <w:vAlign w:val="center"/>
          </w:tcPr>
          <w:p w:rsidR="00501EBD" w:rsidRPr="004648BC" w:rsidRDefault="00501EBD" w:rsidP="006811F1">
            <w:pPr>
              <w:jc w:val="center"/>
              <w:rPr>
                <w:rFonts w:ascii="Calibri" w:hAnsi="Calibri" w:cs="Calibri"/>
                <w:sz w:val="20"/>
                <w:szCs w:val="20"/>
              </w:rPr>
            </w:pPr>
            <w:r w:rsidRPr="004648BC">
              <w:rPr>
                <w:rFonts w:ascii="Calibri" w:hAnsi="Calibri" w:cs="Calibri"/>
                <w:sz w:val="20"/>
                <w:szCs w:val="20"/>
              </w:rPr>
              <w:t>20</w:t>
            </w:r>
            <w:r>
              <w:rPr>
                <w:rFonts w:ascii="Calibri" w:hAnsi="Calibri" w:cs="Calibri"/>
                <w:sz w:val="20"/>
                <w:szCs w:val="20"/>
              </w:rPr>
              <w:t>13</w:t>
            </w:r>
            <w:r w:rsidRPr="004648BC">
              <w:rPr>
                <w:rFonts w:ascii="Calibri" w:hAnsi="Calibri" w:cs="Calibri"/>
                <w:sz w:val="20"/>
                <w:szCs w:val="20"/>
              </w:rPr>
              <w:t xml:space="preserve"> Non-Residential Building Energy Effi</w:t>
            </w:r>
            <w:r>
              <w:rPr>
                <w:rFonts w:ascii="Calibri" w:hAnsi="Calibri" w:cs="Calibri"/>
                <w:sz w:val="20"/>
                <w:szCs w:val="20"/>
              </w:rPr>
              <w:t>ciency Standards, Section 140.0(b)</w:t>
            </w:r>
          </w:p>
        </w:tc>
        <w:tc>
          <w:tcPr>
            <w:tcW w:w="1821" w:type="dxa"/>
            <w:vAlign w:val="center"/>
          </w:tcPr>
          <w:p w:rsidR="00501EBD" w:rsidRPr="004648BC" w:rsidRDefault="00501EBD" w:rsidP="006811F1">
            <w:pPr>
              <w:jc w:val="center"/>
              <w:rPr>
                <w:rFonts w:ascii="Calibri" w:hAnsi="Calibri" w:cs="Calibri"/>
                <w:sz w:val="20"/>
                <w:szCs w:val="20"/>
              </w:rPr>
            </w:pPr>
            <w:r>
              <w:rPr>
                <w:rFonts w:ascii="Calibri" w:hAnsi="Calibri" w:cs="Calibri"/>
                <w:sz w:val="20"/>
                <w:szCs w:val="20"/>
              </w:rPr>
              <w:t>January 1, 2014</w:t>
            </w:r>
          </w:p>
        </w:tc>
      </w:tr>
      <w:tr w:rsidR="00501EBD" w:rsidRPr="00697868" w:rsidTr="00C25E6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501EBD" w:rsidRPr="004648BC" w:rsidRDefault="00501EBD" w:rsidP="002163E5">
            <w:pPr>
              <w:jc w:val="center"/>
              <w:rPr>
                <w:rFonts w:ascii="Calibri" w:hAnsi="Calibri" w:cs="Calibri"/>
                <w:sz w:val="20"/>
                <w:szCs w:val="20"/>
              </w:rPr>
            </w:pPr>
            <w:r>
              <w:rPr>
                <w:rFonts w:ascii="Calibri" w:hAnsi="Calibri" w:cs="Calibri"/>
                <w:sz w:val="20"/>
                <w:szCs w:val="20"/>
              </w:rPr>
              <w:t>Title 20 (201</w:t>
            </w:r>
            <w:r w:rsidR="002163E5">
              <w:rPr>
                <w:rFonts w:ascii="Calibri" w:hAnsi="Calibri" w:cs="Calibri"/>
                <w:sz w:val="20"/>
                <w:szCs w:val="20"/>
              </w:rPr>
              <w:t>4</w:t>
            </w:r>
            <w:r w:rsidRPr="004648BC">
              <w:rPr>
                <w:rFonts w:ascii="Calibri" w:hAnsi="Calibri" w:cs="Calibri"/>
                <w:sz w:val="20"/>
                <w:szCs w:val="20"/>
              </w:rPr>
              <w:t>)</w:t>
            </w:r>
          </w:p>
        </w:tc>
        <w:tc>
          <w:tcPr>
            <w:tcW w:w="4352" w:type="dxa"/>
            <w:vAlign w:val="center"/>
          </w:tcPr>
          <w:p w:rsidR="00501EBD" w:rsidRPr="004648BC" w:rsidRDefault="00501EBD" w:rsidP="006811F1">
            <w:pPr>
              <w:jc w:val="center"/>
              <w:rPr>
                <w:rFonts w:ascii="Calibri" w:hAnsi="Calibri" w:cs="Calibri"/>
                <w:sz w:val="20"/>
                <w:szCs w:val="20"/>
              </w:rPr>
            </w:pPr>
            <w:r w:rsidRPr="004648BC">
              <w:rPr>
                <w:rFonts w:ascii="Calibri" w:hAnsi="Calibri" w:cs="Calibri"/>
                <w:sz w:val="20"/>
                <w:szCs w:val="20"/>
              </w:rPr>
              <w:t>N/A</w:t>
            </w:r>
          </w:p>
        </w:tc>
        <w:tc>
          <w:tcPr>
            <w:tcW w:w="1821" w:type="dxa"/>
            <w:vAlign w:val="center"/>
          </w:tcPr>
          <w:p w:rsidR="00501EBD" w:rsidRPr="004648BC" w:rsidRDefault="00501EBD" w:rsidP="006811F1">
            <w:pPr>
              <w:jc w:val="center"/>
              <w:rPr>
                <w:rFonts w:ascii="Calibri" w:hAnsi="Calibri" w:cs="Calibri"/>
                <w:sz w:val="20"/>
                <w:szCs w:val="20"/>
              </w:rPr>
            </w:pPr>
            <w:r w:rsidRPr="004648BC">
              <w:rPr>
                <w:rFonts w:ascii="Calibri" w:hAnsi="Calibri" w:cs="Calibri"/>
                <w:sz w:val="20"/>
                <w:szCs w:val="20"/>
              </w:rPr>
              <w:t>N/A</w:t>
            </w:r>
          </w:p>
        </w:tc>
      </w:tr>
    </w:tbl>
    <w:p w:rsidR="00B07EE5" w:rsidRPr="00697868" w:rsidRDefault="00B07EE5" w:rsidP="00E16609">
      <w:pPr>
        <w:pStyle w:val="Reminders"/>
        <w:rPr>
          <w:rFonts w:asciiTheme="minorHAnsi" w:hAnsiTheme="minorHAnsi" w:cstheme="minorHAnsi"/>
          <w:sz w:val="22"/>
          <w:szCs w:val="22"/>
        </w:rPr>
      </w:pPr>
    </w:p>
    <w:p w:rsidR="00AB21F5" w:rsidRDefault="00AB21F5" w:rsidP="00F06CCF">
      <w:pPr>
        <w:pStyle w:val="Heading3"/>
        <w:rPr>
          <w:rFonts w:asciiTheme="minorHAnsi" w:hAnsiTheme="minorHAnsi"/>
        </w:rPr>
      </w:pPr>
      <w:bookmarkStart w:id="13" w:name="_Toc214003088"/>
      <w:r w:rsidRPr="00AB21F5">
        <w:rPr>
          <w:rFonts w:asciiTheme="minorHAnsi" w:hAnsiTheme="minorHAnsi"/>
        </w:rPr>
        <w:t>1.4.3 Non-DEER Study Review</w:t>
      </w:r>
    </w:p>
    <w:p w:rsidR="00AB21F5" w:rsidRPr="00AB21F5" w:rsidRDefault="005A47F3" w:rsidP="00AB21F5">
      <w:pPr>
        <w:pStyle w:val="Reminder"/>
        <w:rPr>
          <w:rFonts w:asciiTheme="minorHAnsi" w:hAnsiTheme="minorHAnsi" w:cstheme="minorHAnsi"/>
          <w:sz w:val="22"/>
          <w:szCs w:val="22"/>
        </w:rPr>
      </w:pPr>
      <w:r>
        <w:rPr>
          <w:rFonts w:asciiTheme="minorHAnsi" w:hAnsiTheme="minorHAnsi" w:cstheme="minorHAnsi"/>
          <w:i w:val="0"/>
          <w:color w:val="auto"/>
          <w:sz w:val="22"/>
          <w:szCs w:val="22"/>
        </w:rPr>
        <w:t>No non-DEER studies</w:t>
      </w:r>
      <w:r w:rsidR="00501EBD">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or data were reviewed for this Workpaper.</w:t>
      </w:r>
    </w:p>
    <w:p w:rsidR="00E16609" w:rsidRPr="00F06CCF" w:rsidRDefault="00824F1C" w:rsidP="00F06CCF">
      <w:pPr>
        <w:pStyle w:val="Heading3"/>
        <w:rPr>
          <w:rFonts w:asciiTheme="minorHAnsi" w:hAnsiTheme="minorHAnsi"/>
        </w:rPr>
      </w:pPr>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3"/>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2015</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extension</w:t>
      </w:r>
      <w:r w:rsidRPr="00697868">
        <w:rPr>
          <w:rFonts w:asciiTheme="minorHAnsi" w:hAnsiTheme="minorHAnsi" w:cstheme="minorHAnsi"/>
          <w:sz w:val="22"/>
          <w:szCs w:val="22"/>
        </w:rPr>
        <w:t xml:space="preserve"> on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“Summary of EUL-RUL Analysis for the April 2008 Update to DEER”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5B28C1" w:rsidRPr="00697868"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EUL_Summary_10-1-08.xls</w:t>
      </w:r>
      <w:r w:rsidR="00E07752" w:rsidRPr="00697868">
        <w:rPr>
          <w:rFonts w:asciiTheme="minorHAnsi" w:hAnsiTheme="minorHAnsi" w:cstheme="minorHAnsi"/>
          <w:sz w:val="22"/>
          <w:szCs w:val="22"/>
        </w:rPr>
        <w:t xml:space="preserve"> [213]</w:t>
      </w:r>
      <w:r w:rsidR="00056947" w:rsidRPr="00697868">
        <w:rPr>
          <w:rFonts w:asciiTheme="minorHAnsi" w:hAnsiTheme="minorHAnsi" w:cstheme="minorHAnsi"/>
          <w:sz w:val="22"/>
          <w:szCs w:val="22"/>
        </w:rPr>
        <w:t>, was consulted.</w:t>
      </w: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AF6312" w:rsidRPr="00697868">
        <w:rPr>
          <w:rFonts w:asciiTheme="minorHAnsi" w:hAnsiTheme="minorHAnsi" w:cstheme="minorHAnsi"/>
          <w:sz w:val="22"/>
          <w:szCs w:val="22"/>
        </w:rPr>
        <w:t xml:space="preserve">Table </w:t>
      </w:r>
      <w:r w:rsidR="00AF6312">
        <w:rPr>
          <w:rFonts w:asciiTheme="minorHAnsi" w:hAnsiTheme="minorHAnsi" w:cstheme="minorHAnsi"/>
          <w:noProof/>
          <w:sz w:val="22"/>
          <w:szCs w:val="22"/>
        </w:rPr>
        <w:t>7</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work paper.</w:t>
      </w:r>
    </w:p>
    <w:p w:rsidR="00BD3931" w:rsidRPr="00697868" w:rsidRDefault="00BD3931" w:rsidP="000F130A">
      <w:pPr>
        <w:rPr>
          <w:rFonts w:asciiTheme="minorHAnsi" w:hAnsiTheme="minorHAnsi" w:cstheme="minorHAnsi"/>
          <w:sz w:val="22"/>
          <w:szCs w:val="22"/>
        </w:rPr>
      </w:pPr>
    </w:p>
    <w:p w:rsidR="005B28C1" w:rsidRPr="00697868" w:rsidRDefault="005B28C1" w:rsidP="005B28C1">
      <w:pPr>
        <w:pStyle w:val="Caption"/>
        <w:jc w:val="center"/>
        <w:rPr>
          <w:rFonts w:asciiTheme="minorHAnsi" w:hAnsiTheme="minorHAnsi" w:cstheme="minorHAnsi"/>
          <w:sz w:val="22"/>
          <w:szCs w:val="22"/>
        </w:rPr>
      </w:pPr>
      <w:bookmarkStart w:id="14"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AF6312">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4"/>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697868"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697868" w:rsidRDefault="001C5A94" w:rsidP="000F130A">
            <w:pPr>
              <w:rPr>
                <w:rFonts w:asciiTheme="minorHAnsi" w:hAnsiTheme="minorHAnsi" w:cstheme="minorHAnsi"/>
                <w:sz w:val="20"/>
                <w:szCs w:val="20"/>
              </w:rPr>
            </w:pPr>
            <w:r>
              <w:rPr>
                <w:rFonts w:asciiTheme="minorHAnsi" w:hAnsiTheme="minorHAnsi" w:cstheme="minorHAnsi"/>
                <w:sz w:val="20"/>
                <w:szCs w:val="20"/>
              </w:rPr>
              <w:t>READi EUL ID</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1214"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Enduse</w:t>
            </w:r>
          </w:p>
        </w:tc>
        <w:tc>
          <w:tcPr>
            <w:tcW w:w="216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1566"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1C5A94" w:rsidRPr="00697868" w:rsidTr="001C5A94">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1C5A94" w:rsidRPr="00697868" w:rsidRDefault="007D2BC3" w:rsidP="000F130A">
            <w:pPr>
              <w:rPr>
                <w:rFonts w:asciiTheme="minorHAnsi" w:hAnsiTheme="minorHAnsi" w:cstheme="minorHAnsi"/>
                <w:sz w:val="20"/>
                <w:szCs w:val="20"/>
              </w:rPr>
            </w:pPr>
            <w:r w:rsidRPr="007D2BC3">
              <w:rPr>
                <w:rFonts w:asciiTheme="minorHAnsi" w:hAnsiTheme="minorHAnsi" w:cstheme="minorHAnsi"/>
                <w:sz w:val="20"/>
                <w:szCs w:val="20"/>
              </w:rPr>
              <w:t>ILtg-CFLfix-Com</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Non-Residential</w:t>
            </w:r>
          </w:p>
        </w:tc>
        <w:tc>
          <w:tcPr>
            <w:tcW w:w="1214" w:type="dxa"/>
          </w:tcPr>
          <w:p w:rsidR="001C5A94" w:rsidRPr="00697868" w:rsidRDefault="0057243A" w:rsidP="000F130A">
            <w:pPr>
              <w:rPr>
                <w:rFonts w:asciiTheme="minorHAnsi" w:hAnsiTheme="minorHAnsi" w:cstheme="minorHAnsi"/>
                <w:sz w:val="20"/>
                <w:szCs w:val="20"/>
              </w:rPr>
            </w:pPr>
            <w:r>
              <w:rPr>
                <w:rFonts w:asciiTheme="minorHAnsi" w:hAnsiTheme="minorHAnsi" w:cstheme="minorHAnsi"/>
                <w:sz w:val="20"/>
                <w:szCs w:val="20"/>
              </w:rPr>
              <w:t>Indoor Lighting</w:t>
            </w:r>
          </w:p>
        </w:tc>
        <w:tc>
          <w:tcPr>
            <w:tcW w:w="2161" w:type="dxa"/>
          </w:tcPr>
          <w:p w:rsidR="001C5A94" w:rsidRPr="00697868" w:rsidRDefault="00813EF5" w:rsidP="000F130A">
            <w:pPr>
              <w:rPr>
                <w:rFonts w:asciiTheme="minorHAnsi" w:hAnsiTheme="minorHAnsi" w:cstheme="minorHAnsi"/>
                <w:sz w:val="20"/>
                <w:szCs w:val="20"/>
              </w:rPr>
            </w:pPr>
            <w:r>
              <w:rPr>
                <w:rFonts w:asciiTheme="minorHAnsi" w:hAnsiTheme="minorHAnsi" w:cstheme="minorHAnsi"/>
                <w:sz w:val="20"/>
                <w:szCs w:val="20"/>
              </w:rPr>
              <w:t>CFL Fixtures</w:t>
            </w:r>
          </w:p>
        </w:tc>
        <w:tc>
          <w:tcPr>
            <w:tcW w:w="1566"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12</w:t>
            </w:r>
          </w:p>
        </w:tc>
        <w:tc>
          <w:tcPr>
            <w:tcW w:w="1443"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4</w:t>
            </w:r>
          </w:p>
        </w:tc>
      </w:tr>
      <w:tr w:rsidR="0057243A" w:rsidRPr="00697868" w:rsidTr="001C5A94">
        <w:trPr>
          <w:cnfStyle w:val="000000010000" w:firstRow="0" w:lastRow="0" w:firstColumn="0" w:lastColumn="0" w:oddVBand="0" w:evenVBand="0" w:oddHBand="0" w:evenHBand="1" w:firstRowFirstColumn="0" w:firstRowLastColumn="0" w:lastRowFirstColumn="0" w:lastRowLastColumn="0"/>
          <w:trHeight w:val="243"/>
          <w:jc w:val="center"/>
        </w:trPr>
        <w:tc>
          <w:tcPr>
            <w:tcW w:w="1461" w:type="dxa"/>
          </w:tcPr>
          <w:p w:rsidR="0057243A" w:rsidRPr="00697868" w:rsidRDefault="007D2BC3" w:rsidP="000F130A">
            <w:pPr>
              <w:rPr>
                <w:rFonts w:asciiTheme="minorHAnsi" w:hAnsiTheme="minorHAnsi" w:cstheme="minorHAnsi"/>
                <w:sz w:val="20"/>
                <w:szCs w:val="20"/>
              </w:rPr>
            </w:pPr>
            <w:r w:rsidRPr="007D2BC3">
              <w:rPr>
                <w:rFonts w:asciiTheme="minorHAnsi" w:hAnsiTheme="minorHAnsi" w:cstheme="minorHAnsi"/>
                <w:sz w:val="20"/>
                <w:szCs w:val="20"/>
              </w:rPr>
              <w:t>ILtg-CFLfix-Res</w:t>
            </w:r>
          </w:p>
        </w:tc>
        <w:tc>
          <w:tcPr>
            <w:tcW w:w="1731" w:type="dxa"/>
          </w:tcPr>
          <w:p w:rsidR="0057243A" w:rsidRPr="00697868" w:rsidRDefault="00813EF5" w:rsidP="000F130A">
            <w:pPr>
              <w:rPr>
                <w:rFonts w:asciiTheme="minorHAnsi" w:hAnsiTheme="minorHAnsi" w:cstheme="minorHAnsi"/>
                <w:sz w:val="20"/>
                <w:szCs w:val="20"/>
              </w:rPr>
            </w:pPr>
            <w:r>
              <w:rPr>
                <w:rFonts w:asciiTheme="minorHAnsi" w:hAnsiTheme="minorHAnsi" w:cstheme="minorHAnsi"/>
                <w:sz w:val="20"/>
                <w:szCs w:val="20"/>
              </w:rPr>
              <w:t>REsidential</w:t>
            </w:r>
          </w:p>
        </w:tc>
        <w:tc>
          <w:tcPr>
            <w:tcW w:w="1214" w:type="dxa"/>
          </w:tcPr>
          <w:p w:rsidR="0057243A" w:rsidRPr="00697868" w:rsidRDefault="00813EF5" w:rsidP="000F130A">
            <w:pPr>
              <w:rPr>
                <w:rFonts w:asciiTheme="minorHAnsi" w:hAnsiTheme="minorHAnsi" w:cstheme="minorHAnsi"/>
                <w:sz w:val="20"/>
                <w:szCs w:val="20"/>
              </w:rPr>
            </w:pPr>
            <w:r>
              <w:rPr>
                <w:rFonts w:asciiTheme="minorHAnsi" w:hAnsiTheme="minorHAnsi" w:cstheme="minorHAnsi"/>
                <w:sz w:val="20"/>
                <w:szCs w:val="20"/>
              </w:rPr>
              <w:t>Indoor Lighting</w:t>
            </w:r>
          </w:p>
        </w:tc>
        <w:tc>
          <w:tcPr>
            <w:tcW w:w="2161" w:type="dxa"/>
          </w:tcPr>
          <w:p w:rsidR="0057243A" w:rsidRPr="00697868" w:rsidRDefault="00813EF5" w:rsidP="000F130A">
            <w:pPr>
              <w:rPr>
                <w:rFonts w:asciiTheme="minorHAnsi" w:hAnsiTheme="minorHAnsi" w:cstheme="minorHAnsi"/>
                <w:sz w:val="20"/>
                <w:szCs w:val="20"/>
              </w:rPr>
            </w:pPr>
            <w:r>
              <w:rPr>
                <w:rFonts w:asciiTheme="minorHAnsi" w:hAnsiTheme="minorHAnsi" w:cstheme="minorHAnsi"/>
                <w:sz w:val="20"/>
                <w:szCs w:val="20"/>
              </w:rPr>
              <w:t>CFL Fixtures</w:t>
            </w:r>
          </w:p>
        </w:tc>
        <w:tc>
          <w:tcPr>
            <w:tcW w:w="1566" w:type="dxa"/>
          </w:tcPr>
          <w:p w:rsidR="0057243A" w:rsidRPr="00697868" w:rsidRDefault="00813EF5" w:rsidP="000F130A">
            <w:pPr>
              <w:rPr>
                <w:rFonts w:asciiTheme="minorHAnsi" w:hAnsiTheme="minorHAnsi" w:cstheme="minorHAnsi"/>
                <w:sz w:val="20"/>
                <w:szCs w:val="20"/>
              </w:rPr>
            </w:pPr>
            <w:r>
              <w:rPr>
                <w:rFonts w:asciiTheme="minorHAnsi" w:hAnsiTheme="minorHAnsi" w:cstheme="minorHAnsi"/>
                <w:sz w:val="20"/>
                <w:szCs w:val="20"/>
              </w:rPr>
              <w:t>16</w:t>
            </w:r>
          </w:p>
        </w:tc>
        <w:tc>
          <w:tcPr>
            <w:tcW w:w="1443" w:type="dxa"/>
          </w:tcPr>
          <w:p w:rsidR="0057243A" w:rsidRPr="00697868" w:rsidRDefault="00813EF5" w:rsidP="000F130A">
            <w:pPr>
              <w:rPr>
                <w:rFonts w:asciiTheme="minorHAnsi" w:hAnsiTheme="minorHAnsi" w:cstheme="minorHAnsi"/>
                <w:sz w:val="20"/>
                <w:szCs w:val="20"/>
              </w:rPr>
            </w:pPr>
            <w:r>
              <w:rPr>
                <w:rFonts w:asciiTheme="minorHAnsi" w:hAnsiTheme="minorHAnsi" w:cstheme="minorHAnsi"/>
                <w:sz w:val="20"/>
                <w:szCs w:val="20"/>
              </w:rPr>
              <w:t>5.3</w:t>
            </w:r>
          </w:p>
        </w:tc>
      </w:tr>
    </w:tbl>
    <w:p w:rsidR="00274FBE" w:rsidRPr="005A47F3" w:rsidRDefault="00E16609" w:rsidP="005A47F3">
      <w:pPr>
        <w:pStyle w:val="Heading1"/>
        <w:keepNext w:val="0"/>
        <w:rPr>
          <w:rFonts w:asciiTheme="minorHAnsi" w:hAnsiTheme="minorHAnsi" w:cstheme="minorHAnsi"/>
        </w:rPr>
      </w:pPr>
      <w:bookmarkStart w:id="15" w:name="_Toc214003090"/>
      <w:r w:rsidRPr="00C67D93">
        <w:rPr>
          <w:rFonts w:asciiTheme="minorHAnsi" w:hAnsiTheme="minorHAnsi" w:cstheme="minorHAnsi"/>
        </w:rPr>
        <w:t>Section 2. Energy Savings &amp; Demand Reduction Calculations</w:t>
      </w:r>
      <w:bookmarkEnd w:id="15"/>
    </w:p>
    <w:p w:rsidR="00F15384" w:rsidRDefault="00F60679" w:rsidP="00F15384">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Table 8</w:t>
      </w:r>
      <w:r w:rsidR="001F05CE" w:rsidRPr="00697868">
        <w:rPr>
          <w:rFonts w:asciiTheme="minorHAnsi" w:hAnsiTheme="minorHAnsi" w:cstheme="minorHAnsi"/>
          <w:i w:val="0"/>
          <w:color w:val="auto"/>
          <w:sz w:val="22"/>
          <w:szCs w:val="22"/>
        </w:rPr>
        <w:t xml:space="preserve"> contains </w:t>
      </w:r>
      <w:r w:rsidR="0071606B">
        <w:rPr>
          <w:rFonts w:asciiTheme="minorHAnsi" w:hAnsiTheme="minorHAnsi" w:cstheme="minorHAnsi"/>
          <w:i w:val="0"/>
          <w:color w:val="auto"/>
          <w:sz w:val="22"/>
          <w:szCs w:val="22"/>
        </w:rPr>
        <w:t xml:space="preserve">measures that utilize the </w:t>
      </w:r>
      <w:r w:rsidR="0035762B">
        <w:rPr>
          <w:rFonts w:asciiTheme="minorHAnsi" w:hAnsiTheme="minorHAnsi" w:cstheme="minorHAnsi"/>
          <w:i w:val="0"/>
          <w:color w:val="auto"/>
          <w:sz w:val="22"/>
          <w:szCs w:val="22"/>
        </w:rPr>
        <w:t xml:space="preserve">3.53 </w:t>
      </w:r>
      <w:r w:rsidR="0071606B">
        <w:rPr>
          <w:rFonts w:asciiTheme="minorHAnsi" w:hAnsiTheme="minorHAnsi" w:cstheme="minorHAnsi"/>
          <w:i w:val="0"/>
          <w:color w:val="auto"/>
          <w:sz w:val="22"/>
          <w:szCs w:val="22"/>
        </w:rPr>
        <w:t>Wattage Reduction Ratio (WRR) as directed by the May 30, 2014 ED Disposition [</w:t>
      </w:r>
      <w:bookmarkStart w:id="16" w:name="_Ref394997178"/>
      <w:r w:rsidR="00F514A5" w:rsidRPr="00F514A5">
        <w:rPr>
          <w:rFonts w:asciiTheme="minorHAnsi" w:hAnsiTheme="minorHAnsi" w:cstheme="minorHAnsi"/>
          <w:i w:val="0"/>
          <w:color w:val="auto"/>
        </w:rPr>
        <w:endnoteReference w:id="1"/>
      </w:r>
      <w:bookmarkEnd w:id="16"/>
      <w:r w:rsidR="00F514A5" w:rsidRPr="00F514A5">
        <w:rPr>
          <w:rFonts w:asciiTheme="minorHAnsi" w:hAnsiTheme="minorHAnsi" w:cstheme="minorHAnsi"/>
          <w:i w:val="0"/>
          <w:color w:val="auto"/>
          <w:sz w:val="22"/>
          <w:szCs w:val="22"/>
        </w:rPr>
        <w:t>]</w:t>
      </w:r>
      <w:r w:rsidR="0071606B">
        <w:rPr>
          <w:rFonts w:asciiTheme="minorHAnsi" w:hAnsiTheme="minorHAnsi" w:cstheme="minorHAnsi"/>
          <w:i w:val="0"/>
          <w:color w:val="auto"/>
          <w:sz w:val="22"/>
          <w:szCs w:val="22"/>
        </w:rPr>
        <w:t>.</w:t>
      </w:r>
      <w:r w:rsidR="0035762B">
        <w:rPr>
          <w:rFonts w:asciiTheme="minorHAnsi" w:hAnsiTheme="minorHAnsi" w:cstheme="minorHAnsi"/>
          <w:i w:val="0"/>
          <w:color w:val="auto"/>
          <w:sz w:val="22"/>
          <w:szCs w:val="22"/>
        </w:rPr>
        <w:t xml:space="preserve">  </w:t>
      </w:r>
      <w:bookmarkStart w:id="17" w:name="_Ref325630022"/>
    </w:p>
    <w:p w:rsidR="0025450C" w:rsidRDefault="0025450C" w:rsidP="00F15384">
      <w:pPr>
        <w:pStyle w:val="Reminders"/>
        <w:rPr>
          <w:rFonts w:asciiTheme="minorHAnsi" w:hAnsiTheme="minorHAnsi" w:cstheme="minorHAnsi"/>
          <w:sz w:val="22"/>
          <w:szCs w:val="22"/>
        </w:rPr>
      </w:pPr>
    </w:p>
    <w:p w:rsidR="00274FBE" w:rsidRPr="00697868" w:rsidRDefault="00274FBE" w:rsidP="00274FB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AF6312">
        <w:rPr>
          <w:rFonts w:asciiTheme="minorHAnsi" w:hAnsiTheme="minorHAnsi" w:cstheme="minorHAnsi"/>
          <w:noProof/>
          <w:sz w:val="22"/>
          <w:szCs w:val="22"/>
        </w:rPr>
        <w:t>8</w:t>
      </w:r>
      <w:r w:rsidRPr="00697868">
        <w:rPr>
          <w:rFonts w:asciiTheme="minorHAnsi" w:hAnsiTheme="minorHAnsi" w:cstheme="minorHAnsi"/>
          <w:sz w:val="22"/>
          <w:szCs w:val="22"/>
        </w:rPr>
        <w:fldChar w:fldCharType="end"/>
      </w:r>
      <w:bookmarkEnd w:id="17"/>
      <w:r w:rsidRPr="00697868">
        <w:rPr>
          <w:rFonts w:asciiTheme="minorHAnsi" w:hAnsiTheme="minorHAnsi" w:cstheme="minorHAnsi"/>
          <w:sz w:val="22"/>
          <w:szCs w:val="22"/>
        </w:rPr>
        <w:t xml:space="preserve">  </w:t>
      </w:r>
      <w:r w:rsidR="0071606B">
        <w:rPr>
          <w:rFonts w:asciiTheme="minorHAnsi" w:hAnsiTheme="minorHAnsi" w:cstheme="minorHAnsi"/>
          <w:sz w:val="22"/>
          <w:szCs w:val="22"/>
        </w:rPr>
        <w:t>Measures with WRR</w:t>
      </w:r>
    </w:p>
    <w:tbl>
      <w:tblPr>
        <w:tblStyle w:val="TableContemporary"/>
        <w:tblW w:w="4895" w:type="pct"/>
        <w:jc w:val="center"/>
        <w:tblInd w:w="-475" w:type="dxa"/>
        <w:tblLook w:val="01E0" w:firstRow="1" w:lastRow="1" w:firstColumn="1" w:lastColumn="1" w:noHBand="0" w:noVBand="0"/>
      </w:tblPr>
      <w:tblGrid>
        <w:gridCol w:w="1637"/>
        <w:gridCol w:w="7738"/>
      </w:tblGrid>
      <w:tr w:rsidR="00D62384" w:rsidRPr="00697868" w:rsidTr="00AF36AE">
        <w:trPr>
          <w:cnfStyle w:val="100000000000" w:firstRow="1" w:lastRow="0" w:firstColumn="0" w:lastColumn="0" w:oddVBand="0" w:evenVBand="0" w:oddHBand="0" w:evenHBand="0" w:firstRowFirstColumn="0" w:firstRowLastColumn="0" w:lastRowFirstColumn="0" w:lastRowLastColumn="0"/>
          <w:jc w:val="center"/>
        </w:trPr>
        <w:tc>
          <w:tcPr>
            <w:tcW w:w="873" w:type="pct"/>
          </w:tcPr>
          <w:p w:rsidR="00D62384" w:rsidRPr="00697868" w:rsidRDefault="00D62384" w:rsidP="00274FBE">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Solution Code</w:t>
            </w:r>
          </w:p>
        </w:tc>
        <w:tc>
          <w:tcPr>
            <w:tcW w:w="4127" w:type="pct"/>
          </w:tcPr>
          <w:p w:rsidR="00D62384" w:rsidRPr="00697868" w:rsidRDefault="00D62384" w:rsidP="00274FBE">
            <w:pPr>
              <w:jc w:val="center"/>
              <w:rPr>
                <w:rFonts w:asciiTheme="minorHAnsi" w:hAnsiTheme="minorHAnsi" w:cstheme="minorHAnsi"/>
                <w:sz w:val="20"/>
                <w:szCs w:val="20"/>
              </w:rPr>
            </w:pPr>
            <w:r w:rsidRPr="00697868">
              <w:rPr>
                <w:rFonts w:asciiTheme="minorHAnsi" w:hAnsiTheme="minorHAnsi" w:cstheme="minorHAnsi"/>
                <w:sz w:val="20"/>
                <w:szCs w:val="20"/>
              </w:rPr>
              <w:t>Measure Name</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LT-79504</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16 Watt Interior Fixture (Dwelling Area) CFL replacing Incandescent Average Watts = 56.48</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LT-19423</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22 Watt Interior Fixture (Dwelling Area) CFL replacing Incandescent Average Watts = 77.66</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LT-68432</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23 Watt Interior Fixture (Dwelling Area) CFL replacing Incandescent Average Watts = 81.19</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LT-80989</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25 Watt Interior Fixture (Dwelling Area) CFL replacing Incandescent Average Watts = 88.25</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LT-97876</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26 Watt Interior Fixture (Dwelling Area) CFL replacing Incandescent Average Watts = 91.78</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LT-39075</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27 Watt Interior Fixture (Dwelling Area) CFL replacing Incandescent Average Watts = 95.31</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lastRenderedPageBreak/>
              <w:t>LT-81657</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30 Watt Interior Fixture (Dwelling Area) CFL replacing Incandescent Average Watts = 105.9</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LT-23209</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32 Watt Interior Fixture (Dwelling Area) CFL replacing Incandescent Average Watts = 112.96</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LT-59876</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36 Watt Interior Fixture (Dwelling Area) CFL replacing Incandescent Average Watts = 127.08</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LT-87943</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39 Watt Interior Fixture (Dwelling Area) CFL replacing Incandescent Average Watts = 137.67</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LT-49660</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40 Watt Interior Fixture (Dwelling Area) CFL replacing Incandescent Average Watts = 141.2</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LT-49593</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44 Watt Interior Fixture (Dwelling Area) CFL replacing Incandescent Average Watts = 155.32</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LT-67654</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46 Watt Interior Fixture (Dwelling Area) CFL replacing Incandescent Average Watts = 162.38</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LT-85876</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52 Watt Interior Fixture (Dwelling Area) CFL replacing Incandescent Average Watts = 183.56</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LT-19143</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54 Watt Interior Fixture (Dwelling Area) CFL replacing Incandescent Average Watts = 190.62</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LT-34841</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55 Watt Interior Fixture (Dwelling Area) CFL replacing Incandescent Average Watts = 194.15</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LT-38978</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64 Watt Interior Fixture (Dwelling Area) CFL replacing Incandescent Average Watts = 225.92</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LT-56473</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69 Watt Interior Fixture (Dwelling Area) CFL replacing Incandescent Average Watts = 243.57</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LT-78567</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72 Watt Interior Fixture (Dwelling Area) CFL replacing Incandescent Average Watts = 254.16</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LT-90776</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92 Watt Interior Fixture (Dwelling Area) CFL replacing Incandescent Average Watts = 324.76</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LT-39256</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16 Watt Interior Fixture (Common Area) CFL replacing Incandescent Average Watts = 56.48</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LT-93432</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22 Watt Interior Fixture (Common Area) CFL replacing Incandescent Average Watts = 77.66</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LT-50765</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23 Watt Interior Fixture (Common Area) CFL replacing Incandescent Average Watts = 81.19</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LT-40994</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25 Watt Interior Fixture (Common Area) CFL replacing Incandescent Average Watts = 88.25</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LT-89854</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26 Watt Interior Fixture (Common Area) CFL replacing Incandescent Average Watts = 91.78</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LT-24867</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27 Watt Interior Fixture (Common Area) CFL replacing Incandescent Average Watts = 95.31</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LT-73649</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30 Watt Interior Fixture (Common Area) CFL replacing Incandescent Average Watts = 105.9</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LT-59687</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32 Watt Interior Fixture (Common Area) CFL replacing Incandescent Average Watts = 112.96</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LT-45765</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36 Watt Interior Fixture (Common Area) CFL replacing Incandescent Average Watts = 127.08</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LT-79523</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39 Watt Interior Fixture (Common Area) CFL replacing Incandescent Average Watts = 137.67</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LT-35476</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40 Watt Interior Fixture (Common Area) CFL replacing Incandescent Average Watts = 141.2</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LT-62735</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44 Watt Interior Fixture (Common Area) CFL replacing Incandescent Average Watts = 155.32</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LT-50587</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46 Watt Interior Fixture (Common Area) CFL replacing Incandescent Average Watts = 162.38</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LT-78765</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52 Watt Interior Fixture (Common Area) CFL replacing Incandescent Average Watts = 183.56</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LT-90987</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54 Watt Interior Fixture (Common Area) CFL replacing Incandescent Average Watts = 190.62</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LT-27559</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55 Watt Interior Fixture (Common Area) CFL replacing Incandescent Average Watts = 194.15</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LT-72843</w:t>
            </w:r>
          </w:p>
        </w:tc>
        <w:tc>
          <w:tcPr>
            <w:tcW w:w="4127" w:type="pct"/>
            <w:vAlign w:val="bottom"/>
          </w:tcPr>
          <w:p w:rsidR="001C1CE4" w:rsidRDefault="001C1CE4" w:rsidP="00A23633">
            <w:pPr>
              <w:rPr>
                <w:rFonts w:ascii="Calibri" w:hAnsi="Calibri"/>
                <w:color w:val="000000"/>
                <w:sz w:val="20"/>
                <w:szCs w:val="20"/>
              </w:rPr>
            </w:pPr>
            <w:r>
              <w:rPr>
                <w:rFonts w:ascii="Calibri" w:hAnsi="Calibri"/>
                <w:color w:val="000000"/>
                <w:sz w:val="20"/>
                <w:szCs w:val="20"/>
              </w:rPr>
              <w:t xml:space="preserve">64 Watt Interior Fixture (Common Area) CFL replacing Incandescent Average Watts = </w:t>
            </w:r>
            <w:r w:rsidR="00A23633">
              <w:rPr>
                <w:rFonts w:ascii="Calibri" w:hAnsi="Calibri"/>
                <w:color w:val="000000"/>
                <w:sz w:val="20"/>
                <w:szCs w:val="20"/>
              </w:rPr>
              <w:t>225.92</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LT-45343</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69 Watt Interior Fixture (Common Area) CFL replacing Incandescent Average Watts = 243.57</w:t>
            </w:r>
          </w:p>
        </w:tc>
      </w:tr>
      <w:tr w:rsidR="001C1CE4" w:rsidRPr="00697868" w:rsidTr="00AF36AE">
        <w:trPr>
          <w:cnfStyle w:val="000000100000" w:firstRow="0" w:lastRow="0" w:firstColumn="0" w:lastColumn="0" w:oddVBand="0" w:evenVBand="0" w:oddHBand="1" w:evenHBand="0"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LT-65832</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72 Watt Interior Fixture (Common Area) CFL replacing Incandescent Average Watts = 254.16</w:t>
            </w:r>
          </w:p>
        </w:tc>
      </w:tr>
      <w:tr w:rsidR="001C1CE4" w:rsidRPr="00697868" w:rsidTr="00AF36AE">
        <w:trPr>
          <w:cnfStyle w:val="000000010000" w:firstRow="0" w:lastRow="0" w:firstColumn="0" w:lastColumn="0" w:oddVBand="0" w:evenVBand="0" w:oddHBand="0" w:evenHBand="1" w:firstRowFirstColumn="0" w:firstRowLastColumn="0" w:lastRowFirstColumn="0" w:lastRowLastColumn="0"/>
          <w:jc w:val="center"/>
        </w:trPr>
        <w:tc>
          <w:tcPr>
            <w:tcW w:w="873" w:type="pct"/>
            <w:vAlign w:val="bottom"/>
          </w:tcPr>
          <w:p w:rsidR="001C1CE4" w:rsidRDefault="001C1CE4">
            <w:pPr>
              <w:rPr>
                <w:rFonts w:ascii="Calibri" w:hAnsi="Calibri"/>
                <w:color w:val="000000"/>
                <w:sz w:val="20"/>
                <w:szCs w:val="20"/>
              </w:rPr>
            </w:pPr>
            <w:r>
              <w:rPr>
                <w:rFonts w:ascii="Calibri" w:hAnsi="Calibri"/>
                <w:color w:val="000000"/>
                <w:sz w:val="20"/>
                <w:szCs w:val="20"/>
              </w:rPr>
              <w:t>LT-87453</w:t>
            </w:r>
          </w:p>
        </w:tc>
        <w:tc>
          <w:tcPr>
            <w:tcW w:w="4127" w:type="pct"/>
            <w:vAlign w:val="bottom"/>
          </w:tcPr>
          <w:p w:rsidR="001C1CE4" w:rsidRDefault="001C1CE4">
            <w:pPr>
              <w:rPr>
                <w:rFonts w:ascii="Calibri" w:hAnsi="Calibri"/>
                <w:color w:val="000000"/>
                <w:sz w:val="20"/>
                <w:szCs w:val="20"/>
              </w:rPr>
            </w:pPr>
            <w:r>
              <w:rPr>
                <w:rFonts w:ascii="Calibri" w:hAnsi="Calibri"/>
                <w:color w:val="000000"/>
                <w:sz w:val="20"/>
                <w:szCs w:val="20"/>
              </w:rPr>
              <w:t>92 Watt Interior Fixture (Common Area) CFL replacing Incandescent Average Watts = 324.76</w:t>
            </w:r>
          </w:p>
        </w:tc>
      </w:tr>
    </w:tbl>
    <w:p w:rsidR="00274FBE" w:rsidRPr="00697868" w:rsidRDefault="00274FBE" w:rsidP="00E16609">
      <w:pPr>
        <w:pStyle w:val="Reminder"/>
        <w:rPr>
          <w:rFonts w:asciiTheme="minorHAnsi" w:hAnsiTheme="minorHAnsi" w:cstheme="minorHAnsi"/>
          <w:sz w:val="22"/>
          <w:szCs w:val="22"/>
        </w:rPr>
      </w:pPr>
    </w:p>
    <w:p w:rsidR="0020686A" w:rsidRPr="00587BA4" w:rsidRDefault="0020686A" w:rsidP="0020686A">
      <w:pPr>
        <w:rPr>
          <w:rFonts w:ascii="Calibri" w:hAnsi="Calibri" w:cs="Calibri"/>
          <w:sz w:val="22"/>
          <w:szCs w:val="22"/>
        </w:rPr>
      </w:pPr>
      <w:bookmarkStart w:id="18" w:name="_Ref248142213"/>
      <w:r w:rsidRPr="00FD6892">
        <w:rPr>
          <w:rFonts w:ascii="Calibri" w:hAnsi="Calibri" w:cs="Calibri"/>
          <w:sz w:val="22"/>
          <w:szCs w:val="22"/>
        </w:rPr>
        <w:t xml:space="preserve">The non-dwelling/non-common area measures are categorized into five different wattage levels based on average common lighting replacements which are retrofitted using Compact Fluorescent Fixtures.  For the purpose of calculating the energy savings for measures with ranges, it is assumed that the base case is always a standard metal halide. </w:t>
      </w:r>
      <w:r w:rsidR="0071606B">
        <w:rPr>
          <w:rFonts w:ascii="Calibri" w:hAnsi="Calibri" w:cs="Calibri"/>
          <w:sz w:val="22"/>
          <w:szCs w:val="22"/>
        </w:rPr>
        <w:fldChar w:fldCharType="begin"/>
      </w:r>
      <w:r w:rsidR="0071606B">
        <w:rPr>
          <w:rFonts w:ascii="Calibri" w:hAnsi="Calibri" w:cs="Calibri"/>
          <w:sz w:val="22"/>
          <w:szCs w:val="22"/>
        </w:rPr>
        <w:instrText xml:space="preserve"> REF _Ref394933017 \h </w:instrText>
      </w:r>
      <w:r w:rsidR="0071606B">
        <w:rPr>
          <w:rFonts w:ascii="Calibri" w:hAnsi="Calibri" w:cs="Calibri"/>
          <w:sz w:val="22"/>
          <w:szCs w:val="22"/>
        </w:rPr>
      </w:r>
      <w:r w:rsidR="0071606B">
        <w:rPr>
          <w:rFonts w:ascii="Calibri" w:hAnsi="Calibri" w:cs="Calibri"/>
          <w:sz w:val="22"/>
          <w:szCs w:val="22"/>
        </w:rPr>
        <w:fldChar w:fldCharType="separate"/>
      </w:r>
      <w:r w:rsidR="00AF6312" w:rsidRPr="0071606B">
        <w:rPr>
          <w:rFonts w:ascii="Calibri" w:hAnsi="Calibri" w:cs="Calibri"/>
          <w:sz w:val="22"/>
          <w:szCs w:val="22"/>
        </w:rPr>
        <w:t xml:space="preserve">Table </w:t>
      </w:r>
      <w:r w:rsidR="00AF6312">
        <w:rPr>
          <w:rFonts w:ascii="Calibri" w:hAnsi="Calibri" w:cs="Calibri"/>
          <w:noProof/>
          <w:sz w:val="22"/>
          <w:szCs w:val="22"/>
        </w:rPr>
        <w:t>9</w:t>
      </w:r>
      <w:r w:rsidR="0071606B">
        <w:rPr>
          <w:rFonts w:ascii="Calibri" w:hAnsi="Calibri" w:cs="Calibri"/>
          <w:sz w:val="22"/>
          <w:szCs w:val="22"/>
        </w:rPr>
        <w:fldChar w:fldCharType="end"/>
      </w:r>
      <w:r w:rsidR="0071606B">
        <w:rPr>
          <w:rFonts w:ascii="Calibri" w:hAnsi="Calibri" w:cs="Calibri"/>
          <w:sz w:val="22"/>
          <w:szCs w:val="22"/>
        </w:rPr>
        <w:t xml:space="preserve"> </w:t>
      </w:r>
      <w:r w:rsidRPr="00FD6892">
        <w:rPr>
          <w:rFonts w:ascii="Calibri" w:hAnsi="Calibri" w:cs="Calibri"/>
          <w:sz w:val="22"/>
          <w:szCs w:val="22"/>
        </w:rPr>
        <w:t>shows the base case and measure wattage levels for the five measures discussed.  The assumed base case</w:t>
      </w:r>
      <w:r w:rsidR="0071606B">
        <w:rPr>
          <w:rFonts w:ascii="Calibri" w:hAnsi="Calibri" w:cs="Calibri"/>
          <w:sz w:val="22"/>
          <w:szCs w:val="22"/>
        </w:rPr>
        <w:t xml:space="preserve"> fixture wattage was taken from the 2013 SPC Standard Fixture Watts [431</w:t>
      </w:r>
      <w:r w:rsidRPr="00587BA4">
        <w:rPr>
          <w:rFonts w:ascii="Calibri" w:hAnsi="Calibri" w:cs="Calibri"/>
          <w:sz w:val="22"/>
          <w:szCs w:val="22"/>
        </w:rPr>
        <w:t>].  The CFL fixture replacement wattage was based on ED disposition</w:t>
      </w:r>
      <w:r w:rsidR="003C1FCB">
        <w:rPr>
          <w:rFonts w:ascii="Calibri" w:hAnsi="Calibri" w:cs="Calibri"/>
          <w:sz w:val="22"/>
          <w:szCs w:val="22"/>
        </w:rPr>
        <w:t xml:space="preserve"> [</w:t>
      </w:r>
      <w:r w:rsidR="003C1FCB">
        <w:rPr>
          <w:rFonts w:ascii="Calibri" w:hAnsi="Calibri" w:cs="Calibri"/>
          <w:sz w:val="22"/>
          <w:szCs w:val="22"/>
        </w:rPr>
        <w:fldChar w:fldCharType="begin"/>
      </w:r>
      <w:r w:rsidR="003C1FCB">
        <w:rPr>
          <w:rFonts w:ascii="Calibri" w:hAnsi="Calibri" w:cs="Calibri"/>
          <w:sz w:val="22"/>
          <w:szCs w:val="22"/>
        </w:rPr>
        <w:instrText xml:space="preserve"> NOTEREF _Ref394997178 \h </w:instrText>
      </w:r>
      <w:r w:rsidR="003C1FCB">
        <w:rPr>
          <w:rFonts w:ascii="Calibri" w:hAnsi="Calibri" w:cs="Calibri"/>
          <w:sz w:val="22"/>
          <w:szCs w:val="22"/>
        </w:rPr>
      </w:r>
      <w:r w:rsidR="003C1FCB">
        <w:rPr>
          <w:rFonts w:ascii="Calibri" w:hAnsi="Calibri" w:cs="Calibri"/>
          <w:sz w:val="22"/>
          <w:szCs w:val="22"/>
        </w:rPr>
        <w:fldChar w:fldCharType="separate"/>
      </w:r>
      <w:r w:rsidR="003C1FCB">
        <w:rPr>
          <w:rFonts w:ascii="Calibri" w:hAnsi="Calibri" w:cs="Calibri"/>
          <w:sz w:val="22"/>
          <w:szCs w:val="22"/>
        </w:rPr>
        <w:t>A</w:t>
      </w:r>
      <w:r w:rsidR="003C1FCB">
        <w:rPr>
          <w:rFonts w:ascii="Calibri" w:hAnsi="Calibri" w:cs="Calibri"/>
          <w:sz w:val="22"/>
          <w:szCs w:val="22"/>
        </w:rPr>
        <w:fldChar w:fldCharType="end"/>
      </w:r>
      <w:r w:rsidR="00501EBD">
        <w:rPr>
          <w:rFonts w:ascii="Calibri" w:hAnsi="Calibri" w:cs="Calibri"/>
          <w:sz w:val="22"/>
          <w:szCs w:val="22"/>
        </w:rPr>
        <w:t>]</w:t>
      </w:r>
      <w:r w:rsidRPr="00587BA4">
        <w:rPr>
          <w:rFonts w:ascii="Calibri" w:hAnsi="Calibri" w:cs="Calibri"/>
          <w:sz w:val="22"/>
          <w:szCs w:val="22"/>
        </w:rPr>
        <w:t xml:space="preserve">. </w:t>
      </w:r>
    </w:p>
    <w:p w:rsidR="0020686A" w:rsidRPr="00587BA4" w:rsidRDefault="0020686A" w:rsidP="0020686A">
      <w:pPr>
        <w:pStyle w:val="Caption"/>
        <w:rPr>
          <w:rFonts w:ascii="Calibri" w:hAnsi="Calibri" w:cs="Calibri"/>
          <w:sz w:val="22"/>
          <w:szCs w:val="22"/>
        </w:rPr>
      </w:pPr>
    </w:p>
    <w:p w:rsidR="00F15384" w:rsidRDefault="00F15384" w:rsidP="0071606B">
      <w:pPr>
        <w:pStyle w:val="Caption"/>
        <w:jc w:val="center"/>
        <w:rPr>
          <w:rFonts w:ascii="Calibri" w:hAnsi="Calibri" w:cs="Calibri"/>
          <w:sz w:val="22"/>
          <w:szCs w:val="22"/>
        </w:rPr>
      </w:pPr>
      <w:bookmarkStart w:id="19" w:name="_Ref394933017"/>
      <w:bookmarkEnd w:id="18"/>
    </w:p>
    <w:p w:rsidR="00F15384" w:rsidRDefault="00F15384" w:rsidP="0071606B">
      <w:pPr>
        <w:pStyle w:val="Caption"/>
        <w:jc w:val="center"/>
        <w:rPr>
          <w:rFonts w:ascii="Calibri" w:hAnsi="Calibri" w:cs="Calibri"/>
          <w:sz w:val="22"/>
          <w:szCs w:val="22"/>
        </w:rPr>
      </w:pPr>
    </w:p>
    <w:p w:rsidR="00F15384" w:rsidRDefault="00F15384" w:rsidP="0071606B">
      <w:pPr>
        <w:pStyle w:val="Caption"/>
        <w:jc w:val="center"/>
        <w:rPr>
          <w:rFonts w:ascii="Calibri" w:hAnsi="Calibri" w:cs="Calibri"/>
          <w:sz w:val="22"/>
          <w:szCs w:val="22"/>
        </w:rPr>
      </w:pPr>
    </w:p>
    <w:p w:rsidR="00F15384" w:rsidRDefault="00F15384" w:rsidP="0071606B">
      <w:pPr>
        <w:pStyle w:val="Caption"/>
        <w:jc w:val="center"/>
        <w:rPr>
          <w:rFonts w:ascii="Calibri" w:hAnsi="Calibri" w:cs="Calibri"/>
          <w:sz w:val="22"/>
          <w:szCs w:val="22"/>
        </w:rPr>
      </w:pPr>
    </w:p>
    <w:p w:rsidR="0020686A" w:rsidRPr="00587BA4" w:rsidRDefault="0071606B" w:rsidP="0071606B">
      <w:pPr>
        <w:pStyle w:val="Caption"/>
        <w:jc w:val="center"/>
        <w:rPr>
          <w:rFonts w:ascii="Calibri" w:hAnsi="Calibri" w:cs="Calibri"/>
          <w:sz w:val="22"/>
          <w:szCs w:val="22"/>
        </w:rPr>
      </w:pPr>
      <w:r w:rsidRPr="0071606B">
        <w:rPr>
          <w:rFonts w:ascii="Calibri" w:hAnsi="Calibri" w:cs="Calibri"/>
          <w:sz w:val="22"/>
          <w:szCs w:val="22"/>
        </w:rPr>
        <w:t xml:space="preserve">Table </w:t>
      </w:r>
      <w:r w:rsidRPr="0071606B">
        <w:rPr>
          <w:rFonts w:ascii="Calibri" w:hAnsi="Calibri" w:cs="Calibri"/>
          <w:sz w:val="22"/>
          <w:szCs w:val="22"/>
        </w:rPr>
        <w:fldChar w:fldCharType="begin"/>
      </w:r>
      <w:r w:rsidRPr="0071606B">
        <w:rPr>
          <w:rFonts w:ascii="Calibri" w:hAnsi="Calibri" w:cs="Calibri"/>
          <w:sz w:val="22"/>
          <w:szCs w:val="22"/>
        </w:rPr>
        <w:instrText xml:space="preserve"> SEQ Table \* ARABIC </w:instrText>
      </w:r>
      <w:r w:rsidRPr="0071606B">
        <w:rPr>
          <w:rFonts w:ascii="Calibri" w:hAnsi="Calibri" w:cs="Calibri"/>
          <w:sz w:val="22"/>
          <w:szCs w:val="22"/>
        </w:rPr>
        <w:fldChar w:fldCharType="separate"/>
      </w:r>
      <w:r w:rsidR="00AF6312">
        <w:rPr>
          <w:rFonts w:ascii="Calibri" w:hAnsi="Calibri" w:cs="Calibri"/>
          <w:noProof/>
          <w:sz w:val="22"/>
          <w:szCs w:val="22"/>
        </w:rPr>
        <w:t>9</w:t>
      </w:r>
      <w:r w:rsidRPr="0071606B">
        <w:rPr>
          <w:rFonts w:ascii="Calibri" w:hAnsi="Calibri" w:cs="Calibri"/>
          <w:sz w:val="22"/>
          <w:szCs w:val="22"/>
        </w:rPr>
        <w:fldChar w:fldCharType="end"/>
      </w:r>
      <w:bookmarkEnd w:id="19"/>
      <w:r w:rsidR="0020686A" w:rsidRPr="00587BA4">
        <w:rPr>
          <w:rFonts w:ascii="Calibri" w:hAnsi="Calibri" w:cs="Calibri"/>
          <w:sz w:val="22"/>
          <w:szCs w:val="22"/>
        </w:rPr>
        <w:t xml:space="preserve"> Base Case and Measure Wattage</w:t>
      </w:r>
    </w:p>
    <w:tbl>
      <w:tblPr>
        <w:tblW w:w="9576" w:type="dxa"/>
        <w:jc w:val="center"/>
        <w:tblBorders>
          <w:insideH w:val="single" w:sz="18" w:space="0" w:color="FFFFFF"/>
          <w:insideV w:val="single" w:sz="18" w:space="0" w:color="FFFFFF"/>
        </w:tblBorders>
        <w:tblLook w:val="00A0" w:firstRow="1" w:lastRow="0" w:firstColumn="1" w:lastColumn="0" w:noHBand="0" w:noVBand="0"/>
      </w:tblPr>
      <w:tblGrid>
        <w:gridCol w:w="1303"/>
        <w:gridCol w:w="2347"/>
        <w:gridCol w:w="2033"/>
        <w:gridCol w:w="1781"/>
        <w:gridCol w:w="2112"/>
      </w:tblGrid>
      <w:tr w:rsidR="00AF36AE" w:rsidRPr="0076695E" w:rsidTr="00AF36AE">
        <w:trPr>
          <w:trHeight w:val="555"/>
          <w:jc w:val="center"/>
        </w:trPr>
        <w:tc>
          <w:tcPr>
            <w:tcW w:w="1303" w:type="dxa"/>
            <w:shd w:val="pct20" w:color="000000" w:fill="FFFFFF"/>
            <w:vAlign w:val="center"/>
          </w:tcPr>
          <w:p w:rsidR="00AF36AE" w:rsidRPr="00587BA4" w:rsidRDefault="00AF36AE" w:rsidP="006811F1">
            <w:pPr>
              <w:jc w:val="center"/>
              <w:rPr>
                <w:rFonts w:ascii="Calibri" w:hAnsi="Calibri" w:cs="Calibri"/>
                <w:b/>
                <w:bCs/>
                <w:sz w:val="20"/>
                <w:szCs w:val="20"/>
              </w:rPr>
            </w:pPr>
            <w:r w:rsidRPr="00587BA4">
              <w:rPr>
                <w:rFonts w:ascii="Calibri" w:hAnsi="Calibri" w:cs="Calibri"/>
                <w:b/>
                <w:bCs/>
                <w:sz w:val="20"/>
                <w:szCs w:val="20"/>
              </w:rPr>
              <w:t>Solution Code</w:t>
            </w:r>
          </w:p>
        </w:tc>
        <w:tc>
          <w:tcPr>
            <w:tcW w:w="2347" w:type="dxa"/>
            <w:shd w:val="pct20" w:color="000000" w:fill="FFFFFF"/>
            <w:vAlign w:val="center"/>
          </w:tcPr>
          <w:p w:rsidR="00AF36AE" w:rsidRPr="00587BA4" w:rsidRDefault="00AF36AE" w:rsidP="006811F1">
            <w:pPr>
              <w:jc w:val="center"/>
              <w:rPr>
                <w:rFonts w:ascii="Calibri" w:hAnsi="Calibri" w:cs="Calibri"/>
                <w:b/>
                <w:bCs/>
                <w:sz w:val="20"/>
                <w:szCs w:val="20"/>
              </w:rPr>
            </w:pPr>
            <w:r w:rsidRPr="00587BA4">
              <w:rPr>
                <w:rFonts w:ascii="Calibri" w:hAnsi="Calibri" w:cs="Calibri"/>
                <w:b/>
                <w:bCs/>
                <w:sz w:val="20"/>
                <w:szCs w:val="20"/>
              </w:rPr>
              <w:t>Description</w:t>
            </w:r>
          </w:p>
        </w:tc>
        <w:tc>
          <w:tcPr>
            <w:tcW w:w="2033" w:type="dxa"/>
            <w:shd w:val="pct20" w:color="000000" w:fill="FFFFFF"/>
            <w:vAlign w:val="center"/>
          </w:tcPr>
          <w:p w:rsidR="00AF36AE" w:rsidRPr="00587BA4" w:rsidRDefault="00AF36AE" w:rsidP="006811F1">
            <w:pPr>
              <w:jc w:val="center"/>
              <w:rPr>
                <w:rFonts w:ascii="Calibri" w:hAnsi="Calibri" w:cs="Calibri"/>
                <w:b/>
                <w:bCs/>
                <w:sz w:val="20"/>
                <w:szCs w:val="20"/>
              </w:rPr>
            </w:pPr>
            <w:r w:rsidRPr="00587BA4">
              <w:rPr>
                <w:rFonts w:ascii="Calibri" w:hAnsi="Calibri" w:cs="Calibri"/>
                <w:b/>
                <w:bCs/>
                <w:sz w:val="20"/>
                <w:szCs w:val="20"/>
              </w:rPr>
              <w:t>Assumed Base Case Standard MH Wattage, including ballast (Watts)</w:t>
            </w:r>
          </w:p>
        </w:tc>
        <w:tc>
          <w:tcPr>
            <w:tcW w:w="1781" w:type="dxa"/>
            <w:shd w:val="pct20" w:color="000000" w:fill="FFFFFF"/>
          </w:tcPr>
          <w:p w:rsidR="00AF36AE" w:rsidRPr="00587BA4" w:rsidRDefault="00AF36AE" w:rsidP="006811F1">
            <w:pPr>
              <w:jc w:val="center"/>
              <w:rPr>
                <w:rFonts w:ascii="Calibri" w:hAnsi="Calibri" w:cs="Calibri"/>
                <w:b/>
                <w:bCs/>
                <w:sz w:val="20"/>
                <w:szCs w:val="20"/>
              </w:rPr>
            </w:pPr>
            <w:r>
              <w:rPr>
                <w:rFonts w:ascii="Calibri" w:hAnsi="Calibri" w:cs="Calibri"/>
                <w:b/>
                <w:bCs/>
                <w:sz w:val="20"/>
                <w:szCs w:val="20"/>
              </w:rPr>
              <w:t>Code Baseline</w:t>
            </w:r>
          </w:p>
        </w:tc>
        <w:tc>
          <w:tcPr>
            <w:tcW w:w="2112" w:type="dxa"/>
            <w:shd w:val="pct20" w:color="000000" w:fill="FFFFFF"/>
            <w:vAlign w:val="center"/>
          </w:tcPr>
          <w:p w:rsidR="00AF36AE" w:rsidRPr="000A11F9" w:rsidRDefault="00AF36AE" w:rsidP="006811F1">
            <w:pPr>
              <w:jc w:val="center"/>
              <w:rPr>
                <w:rFonts w:ascii="Calibri" w:hAnsi="Calibri" w:cs="Calibri"/>
                <w:b/>
                <w:bCs/>
                <w:sz w:val="20"/>
                <w:szCs w:val="20"/>
              </w:rPr>
            </w:pPr>
            <w:r w:rsidRPr="00587BA4">
              <w:rPr>
                <w:rFonts w:ascii="Calibri" w:hAnsi="Calibri" w:cs="Calibri"/>
                <w:b/>
                <w:bCs/>
                <w:sz w:val="20"/>
                <w:szCs w:val="20"/>
              </w:rPr>
              <w:t>CFL Fixture Replacement Wattage based on ED Disposition (Watts)</w:t>
            </w:r>
          </w:p>
        </w:tc>
      </w:tr>
      <w:tr w:rsidR="00AF36AE" w:rsidRPr="0076695E" w:rsidTr="00AF36AE">
        <w:trPr>
          <w:trHeight w:val="342"/>
          <w:jc w:val="center"/>
        </w:trPr>
        <w:tc>
          <w:tcPr>
            <w:tcW w:w="1303" w:type="dxa"/>
            <w:shd w:val="pct5" w:color="000000" w:fill="FFFFFF"/>
            <w:vAlign w:val="center"/>
          </w:tcPr>
          <w:p w:rsidR="00AF36AE" w:rsidRPr="000A11F9" w:rsidRDefault="00AF36AE" w:rsidP="006811F1">
            <w:pPr>
              <w:jc w:val="center"/>
              <w:rPr>
                <w:rFonts w:ascii="Calibri" w:hAnsi="Calibri" w:cs="Calibri"/>
                <w:sz w:val="20"/>
                <w:szCs w:val="20"/>
              </w:rPr>
            </w:pPr>
            <w:r w:rsidRPr="000A11F9">
              <w:rPr>
                <w:rFonts w:ascii="Calibri" w:hAnsi="Calibri" w:cs="Calibri"/>
                <w:sz w:val="20"/>
                <w:szCs w:val="20"/>
              </w:rPr>
              <w:t>LT-17083</w:t>
            </w:r>
          </w:p>
        </w:tc>
        <w:tc>
          <w:tcPr>
            <w:tcW w:w="2347" w:type="dxa"/>
            <w:shd w:val="pct5" w:color="000000" w:fill="FFFFFF"/>
          </w:tcPr>
          <w:p w:rsidR="00AF36AE" w:rsidRPr="000A11F9" w:rsidRDefault="00AF36AE" w:rsidP="006811F1">
            <w:pPr>
              <w:rPr>
                <w:rFonts w:ascii="Calibri" w:hAnsi="Calibri" w:cs="Calibri"/>
                <w:sz w:val="20"/>
                <w:szCs w:val="20"/>
              </w:rPr>
            </w:pPr>
            <w:r w:rsidRPr="000A11F9">
              <w:rPr>
                <w:rFonts w:ascii="Calibri" w:hAnsi="Calibri" w:cs="Calibri"/>
                <w:sz w:val="20"/>
                <w:szCs w:val="20"/>
              </w:rPr>
              <w:t>Up to 70 Watt Interior Fixture CFL replacing less than 100 Watt lamp base case</w:t>
            </w:r>
          </w:p>
        </w:tc>
        <w:tc>
          <w:tcPr>
            <w:tcW w:w="2033" w:type="dxa"/>
            <w:shd w:val="pct5" w:color="000000" w:fill="FFFFFF"/>
            <w:vAlign w:val="center"/>
          </w:tcPr>
          <w:p w:rsidR="00AF36AE" w:rsidRPr="000A11F9" w:rsidRDefault="00AF36AE" w:rsidP="006811F1">
            <w:pPr>
              <w:jc w:val="center"/>
              <w:rPr>
                <w:rFonts w:ascii="Calibri" w:hAnsi="Calibri" w:cs="Calibri"/>
                <w:sz w:val="20"/>
                <w:szCs w:val="20"/>
              </w:rPr>
            </w:pPr>
            <w:r w:rsidRPr="000A11F9">
              <w:rPr>
                <w:rFonts w:ascii="Calibri" w:hAnsi="Calibri" w:cs="Calibri"/>
                <w:sz w:val="20"/>
                <w:szCs w:val="20"/>
              </w:rPr>
              <w:t>95W (based on a 70W MH lamp) – MH70/1</w:t>
            </w:r>
          </w:p>
        </w:tc>
        <w:tc>
          <w:tcPr>
            <w:tcW w:w="1781" w:type="dxa"/>
            <w:shd w:val="pct5" w:color="000000" w:fill="FFFFFF"/>
            <w:vAlign w:val="center"/>
          </w:tcPr>
          <w:p w:rsidR="00AF36AE" w:rsidRDefault="00AF36AE" w:rsidP="00AF36AE">
            <w:pPr>
              <w:jc w:val="center"/>
              <w:rPr>
                <w:rFonts w:ascii="Calibri" w:hAnsi="Calibri" w:cs="Calibri"/>
                <w:sz w:val="20"/>
                <w:szCs w:val="20"/>
              </w:rPr>
            </w:pPr>
            <w:r w:rsidRPr="000A11F9">
              <w:rPr>
                <w:rFonts w:ascii="Calibri" w:hAnsi="Calibri" w:cs="Calibri"/>
                <w:sz w:val="20"/>
                <w:szCs w:val="20"/>
              </w:rPr>
              <w:t>95W (based on a 70W MH lamp) – MH70/1</w:t>
            </w:r>
          </w:p>
        </w:tc>
        <w:tc>
          <w:tcPr>
            <w:tcW w:w="2112" w:type="dxa"/>
            <w:shd w:val="pct5" w:color="000000" w:fill="FFFFFF"/>
            <w:vAlign w:val="center"/>
          </w:tcPr>
          <w:p w:rsidR="00AF36AE" w:rsidRPr="000A11F9" w:rsidRDefault="00AF36AE" w:rsidP="006811F1">
            <w:pPr>
              <w:jc w:val="center"/>
              <w:rPr>
                <w:rFonts w:ascii="Calibri" w:hAnsi="Calibri" w:cs="Calibri"/>
                <w:sz w:val="20"/>
                <w:szCs w:val="20"/>
              </w:rPr>
            </w:pPr>
            <w:r>
              <w:rPr>
                <w:rFonts w:ascii="Calibri" w:hAnsi="Calibri" w:cs="Calibri"/>
                <w:sz w:val="20"/>
                <w:szCs w:val="20"/>
              </w:rPr>
              <w:t>70</w:t>
            </w:r>
          </w:p>
        </w:tc>
      </w:tr>
      <w:tr w:rsidR="00AF36AE" w:rsidRPr="0076695E" w:rsidTr="00AF36AE">
        <w:trPr>
          <w:trHeight w:val="315"/>
          <w:jc w:val="center"/>
        </w:trPr>
        <w:tc>
          <w:tcPr>
            <w:tcW w:w="1303" w:type="dxa"/>
            <w:shd w:val="pct20" w:color="000000" w:fill="FFFFFF"/>
            <w:vAlign w:val="center"/>
          </w:tcPr>
          <w:p w:rsidR="00AF36AE" w:rsidRPr="000A11F9" w:rsidRDefault="00AF36AE" w:rsidP="006811F1">
            <w:pPr>
              <w:jc w:val="center"/>
              <w:rPr>
                <w:rFonts w:ascii="Calibri" w:hAnsi="Calibri" w:cs="Calibri"/>
                <w:sz w:val="20"/>
                <w:szCs w:val="20"/>
              </w:rPr>
            </w:pPr>
            <w:r w:rsidRPr="000A11F9">
              <w:rPr>
                <w:rFonts w:ascii="Calibri" w:hAnsi="Calibri" w:cs="Calibri"/>
                <w:sz w:val="20"/>
                <w:szCs w:val="20"/>
              </w:rPr>
              <w:t>LT-83701</w:t>
            </w:r>
          </w:p>
        </w:tc>
        <w:tc>
          <w:tcPr>
            <w:tcW w:w="2347" w:type="dxa"/>
            <w:shd w:val="pct20" w:color="000000" w:fill="FFFFFF"/>
          </w:tcPr>
          <w:p w:rsidR="00AF36AE" w:rsidRPr="000A11F9" w:rsidRDefault="00AF36AE" w:rsidP="006811F1">
            <w:pPr>
              <w:rPr>
                <w:rFonts w:ascii="Calibri" w:hAnsi="Calibri" w:cs="Calibri"/>
                <w:sz w:val="20"/>
                <w:szCs w:val="20"/>
              </w:rPr>
            </w:pPr>
            <w:r w:rsidRPr="000A11F9">
              <w:rPr>
                <w:rFonts w:ascii="Calibri" w:hAnsi="Calibri" w:cs="Calibri"/>
                <w:sz w:val="20"/>
                <w:szCs w:val="20"/>
              </w:rPr>
              <w:t>Up to 128 Watt Interior Fixture CFL replacing 101 - 175 Watt lamp base case</w:t>
            </w:r>
          </w:p>
        </w:tc>
        <w:tc>
          <w:tcPr>
            <w:tcW w:w="2033" w:type="dxa"/>
            <w:shd w:val="pct20" w:color="000000" w:fill="FFFFFF"/>
            <w:vAlign w:val="center"/>
          </w:tcPr>
          <w:p w:rsidR="00AF36AE" w:rsidRPr="000A11F9" w:rsidRDefault="00AF36AE" w:rsidP="006811F1">
            <w:pPr>
              <w:jc w:val="center"/>
              <w:rPr>
                <w:rFonts w:ascii="Calibri" w:hAnsi="Calibri" w:cs="Calibri"/>
                <w:sz w:val="20"/>
                <w:szCs w:val="20"/>
              </w:rPr>
            </w:pPr>
            <w:r w:rsidRPr="000A11F9">
              <w:rPr>
                <w:rFonts w:ascii="Calibri" w:hAnsi="Calibri" w:cs="Calibri"/>
                <w:sz w:val="20"/>
                <w:szCs w:val="20"/>
              </w:rPr>
              <w:t>190W (based on a 150W MH lamp) – MH150/1</w:t>
            </w:r>
          </w:p>
        </w:tc>
        <w:tc>
          <w:tcPr>
            <w:tcW w:w="1781" w:type="dxa"/>
            <w:shd w:val="pct20" w:color="000000" w:fill="FFFFFF"/>
            <w:vAlign w:val="center"/>
          </w:tcPr>
          <w:p w:rsidR="00AF36AE" w:rsidRDefault="00AF36AE" w:rsidP="00AF36AE">
            <w:pPr>
              <w:jc w:val="center"/>
              <w:rPr>
                <w:rFonts w:ascii="Calibri" w:hAnsi="Calibri" w:cs="Calibri"/>
                <w:sz w:val="20"/>
                <w:szCs w:val="20"/>
              </w:rPr>
            </w:pPr>
            <w:r w:rsidRPr="000A11F9">
              <w:rPr>
                <w:rFonts w:ascii="Calibri" w:hAnsi="Calibri" w:cs="Calibri"/>
                <w:sz w:val="20"/>
                <w:szCs w:val="20"/>
              </w:rPr>
              <w:t>190W</w:t>
            </w:r>
            <w:r w:rsidR="0071606B">
              <w:rPr>
                <w:rFonts w:ascii="Calibri" w:hAnsi="Calibri" w:cs="Calibri"/>
                <w:sz w:val="20"/>
                <w:szCs w:val="20"/>
              </w:rPr>
              <w:t>*</w:t>
            </w:r>
            <w:r w:rsidRPr="000A11F9">
              <w:rPr>
                <w:rFonts w:ascii="Calibri" w:hAnsi="Calibri" w:cs="Calibri"/>
                <w:sz w:val="20"/>
                <w:szCs w:val="20"/>
              </w:rPr>
              <w:t xml:space="preserve"> (based on a 150W </w:t>
            </w:r>
            <w:r>
              <w:rPr>
                <w:rFonts w:ascii="Calibri" w:hAnsi="Calibri" w:cs="Calibri"/>
                <w:sz w:val="20"/>
                <w:szCs w:val="20"/>
              </w:rPr>
              <w:t>PS</w:t>
            </w:r>
            <w:r w:rsidRPr="000A11F9">
              <w:rPr>
                <w:rFonts w:ascii="Calibri" w:hAnsi="Calibri" w:cs="Calibri"/>
                <w:sz w:val="20"/>
                <w:szCs w:val="20"/>
              </w:rPr>
              <w:t xml:space="preserve">MH lamp) – </w:t>
            </w:r>
            <w:r>
              <w:rPr>
                <w:rFonts w:ascii="Calibri" w:hAnsi="Calibri" w:cs="Calibri"/>
                <w:sz w:val="20"/>
                <w:szCs w:val="20"/>
              </w:rPr>
              <w:t>PS</w:t>
            </w:r>
            <w:r w:rsidRPr="000A11F9">
              <w:rPr>
                <w:rFonts w:ascii="Calibri" w:hAnsi="Calibri" w:cs="Calibri"/>
                <w:sz w:val="20"/>
                <w:szCs w:val="20"/>
              </w:rPr>
              <w:t>MH150/1</w:t>
            </w:r>
          </w:p>
        </w:tc>
        <w:tc>
          <w:tcPr>
            <w:tcW w:w="2112" w:type="dxa"/>
            <w:shd w:val="pct20" w:color="000000" w:fill="FFFFFF"/>
            <w:vAlign w:val="center"/>
          </w:tcPr>
          <w:p w:rsidR="00AF36AE" w:rsidRPr="000A11F9" w:rsidRDefault="00AF36AE" w:rsidP="00D52AFC">
            <w:pPr>
              <w:jc w:val="center"/>
              <w:rPr>
                <w:rFonts w:ascii="Calibri" w:hAnsi="Calibri" w:cs="Calibri"/>
                <w:sz w:val="20"/>
                <w:szCs w:val="20"/>
              </w:rPr>
            </w:pPr>
            <w:r>
              <w:rPr>
                <w:rFonts w:ascii="Calibri" w:hAnsi="Calibri" w:cs="Calibri"/>
                <w:sz w:val="20"/>
                <w:szCs w:val="20"/>
              </w:rPr>
              <w:t>128</w:t>
            </w:r>
          </w:p>
        </w:tc>
      </w:tr>
      <w:tr w:rsidR="00AF36AE" w:rsidRPr="0076695E" w:rsidTr="00AF36AE">
        <w:trPr>
          <w:trHeight w:val="315"/>
          <w:jc w:val="center"/>
        </w:trPr>
        <w:tc>
          <w:tcPr>
            <w:tcW w:w="1303" w:type="dxa"/>
            <w:shd w:val="pct5" w:color="000000" w:fill="FFFFFF"/>
            <w:vAlign w:val="center"/>
          </w:tcPr>
          <w:p w:rsidR="00AF36AE" w:rsidRPr="000A11F9" w:rsidRDefault="00AF36AE" w:rsidP="006811F1">
            <w:pPr>
              <w:jc w:val="center"/>
              <w:rPr>
                <w:rFonts w:ascii="Calibri" w:hAnsi="Calibri" w:cs="Calibri"/>
                <w:sz w:val="20"/>
                <w:szCs w:val="20"/>
              </w:rPr>
            </w:pPr>
            <w:r w:rsidRPr="000A11F9">
              <w:rPr>
                <w:rFonts w:ascii="Calibri" w:hAnsi="Calibri" w:cs="Calibri"/>
                <w:sz w:val="20"/>
                <w:szCs w:val="20"/>
              </w:rPr>
              <w:t>LT-33489</w:t>
            </w:r>
          </w:p>
        </w:tc>
        <w:tc>
          <w:tcPr>
            <w:tcW w:w="2347" w:type="dxa"/>
            <w:shd w:val="pct5" w:color="000000" w:fill="FFFFFF"/>
          </w:tcPr>
          <w:p w:rsidR="00AF36AE" w:rsidRPr="000A11F9" w:rsidRDefault="00AF36AE" w:rsidP="006811F1">
            <w:pPr>
              <w:rPr>
                <w:rFonts w:ascii="Calibri" w:hAnsi="Calibri" w:cs="Calibri"/>
                <w:sz w:val="20"/>
                <w:szCs w:val="20"/>
              </w:rPr>
            </w:pPr>
            <w:r w:rsidRPr="000A11F9">
              <w:rPr>
                <w:rFonts w:ascii="Calibri" w:hAnsi="Calibri" w:cs="Calibri"/>
                <w:sz w:val="20"/>
                <w:szCs w:val="20"/>
              </w:rPr>
              <w:t>Up to 192 Watt Interior Fixture CFL replacing 176 - 399 Watt lamp base case</w:t>
            </w:r>
          </w:p>
        </w:tc>
        <w:tc>
          <w:tcPr>
            <w:tcW w:w="2033" w:type="dxa"/>
            <w:shd w:val="pct5" w:color="000000" w:fill="FFFFFF"/>
            <w:vAlign w:val="center"/>
          </w:tcPr>
          <w:p w:rsidR="00AF36AE" w:rsidRPr="000A11F9" w:rsidRDefault="00AF36AE" w:rsidP="006811F1">
            <w:pPr>
              <w:jc w:val="center"/>
              <w:rPr>
                <w:rFonts w:ascii="Calibri" w:hAnsi="Calibri" w:cs="Calibri"/>
                <w:sz w:val="20"/>
                <w:szCs w:val="20"/>
              </w:rPr>
            </w:pPr>
            <w:r w:rsidRPr="000A11F9">
              <w:rPr>
                <w:rFonts w:ascii="Calibri" w:hAnsi="Calibri" w:cs="Calibri"/>
                <w:sz w:val="20"/>
                <w:szCs w:val="20"/>
              </w:rPr>
              <w:t>295W (based on a 250W MH lamp) – MH250/1</w:t>
            </w:r>
          </w:p>
        </w:tc>
        <w:tc>
          <w:tcPr>
            <w:tcW w:w="1781" w:type="dxa"/>
            <w:shd w:val="pct5" w:color="000000" w:fill="FFFFFF"/>
            <w:vAlign w:val="center"/>
          </w:tcPr>
          <w:p w:rsidR="00AF36AE" w:rsidRDefault="00AF36AE" w:rsidP="00AF36AE">
            <w:pPr>
              <w:jc w:val="center"/>
            </w:pPr>
            <w:r>
              <w:rPr>
                <w:rFonts w:ascii="Calibri" w:hAnsi="Calibri" w:cs="Calibri"/>
                <w:sz w:val="20"/>
                <w:szCs w:val="20"/>
              </w:rPr>
              <w:t>232</w:t>
            </w:r>
            <w:r w:rsidRPr="0029220D">
              <w:rPr>
                <w:rFonts w:ascii="Calibri" w:hAnsi="Calibri" w:cs="Calibri"/>
                <w:sz w:val="20"/>
                <w:szCs w:val="20"/>
              </w:rPr>
              <w:t>W</w:t>
            </w:r>
            <w:r w:rsidR="0071606B">
              <w:rPr>
                <w:rFonts w:ascii="Calibri" w:hAnsi="Calibri" w:cs="Calibri"/>
                <w:sz w:val="20"/>
                <w:szCs w:val="20"/>
              </w:rPr>
              <w:t>*</w:t>
            </w:r>
            <w:r w:rsidRPr="0029220D">
              <w:rPr>
                <w:rFonts w:ascii="Calibri" w:hAnsi="Calibri" w:cs="Calibri"/>
                <w:sz w:val="20"/>
                <w:szCs w:val="20"/>
              </w:rPr>
              <w:t xml:space="preserve"> (based on a </w:t>
            </w:r>
            <w:r>
              <w:rPr>
                <w:rFonts w:ascii="Calibri" w:hAnsi="Calibri" w:cs="Calibri"/>
                <w:sz w:val="20"/>
                <w:szCs w:val="20"/>
              </w:rPr>
              <w:t>200</w:t>
            </w:r>
            <w:r w:rsidRPr="0029220D">
              <w:rPr>
                <w:rFonts w:ascii="Calibri" w:hAnsi="Calibri" w:cs="Calibri"/>
                <w:sz w:val="20"/>
                <w:szCs w:val="20"/>
              </w:rPr>
              <w:t>W PSMH lamp) – PSMH</w:t>
            </w:r>
            <w:r>
              <w:rPr>
                <w:rFonts w:ascii="Calibri" w:hAnsi="Calibri" w:cs="Calibri"/>
                <w:sz w:val="20"/>
                <w:szCs w:val="20"/>
              </w:rPr>
              <w:t>20</w:t>
            </w:r>
            <w:r w:rsidRPr="0029220D">
              <w:rPr>
                <w:rFonts w:ascii="Calibri" w:hAnsi="Calibri" w:cs="Calibri"/>
                <w:sz w:val="20"/>
                <w:szCs w:val="20"/>
              </w:rPr>
              <w:t>0/1</w:t>
            </w:r>
          </w:p>
        </w:tc>
        <w:tc>
          <w:tcPr>
            <w:tcW w:w="2112" w:type="dxa"/>
            <w:shd w:val="pct5" w:color="000000" w:fill="FFFFFF"/>
            <w:vAlign w:val="center"/>
          </w:tcPr>
          <w:p w:rsidR="00AF36AE" w:rsidRPr="000A11F9" w:rsidRDefault="00AF36AE" w:rsidP="00D52AFC">
            <w:pPr>
              <w:jc w:val="center"/>
              <w:rPr>
                <w:rFonts w:ascii="Calibri" w:hAnsi="Calibri" w:cs="Calibri"/>
                <w:sz w:val="20"/>
                <w:szCs w:val="20"/>
              </w:rPr>
            </w:pPr>
            <w:r>
              <w:rPr>
                <w:rFonts w:ascii="Calibri" w:hAnsi="Calibri" w:cs="Calibri"/>
                <w:sz w:val="20"/>
                <w:szCs w:val="20"/>
              </w:rPr>
              <w:t>192</w:t>
            </w:r>
          </w:p>
        </w:tc>
      </w:tr>
      <w:tr w:rsidR="00AF36AE" w:rsidRPr="0076695E" w:rsidTr="00AF36AE">
        <w:trPr>
          <w:trHeight w:val="315"/>
          <w:jc w:val="center"/>
        </w:trPr>
        <w:tc>
          <w:tcPr>
            <w:tcW w:w="1303" w:type="dxa"/>
            <w:shd w:val="pct20" w:color="000000" w:fill="FFFFFF"/>
            <w:vAlign w:val="center"/>
          </w:tcPr>
          <w:p w:rsidR="00AF36AE" w:rsidRPr="000A11F9" w:rsidRDefault="00AF36AE" w:rsidP="006811F1">
            <w:pPr>
              <w:jc w:val="center"/>
              <w:rPr>
                <w:rFonts w:ascii="Calibri" w:hAnsi="Calibri" w:cs="Calibri"/>
                <w:sz w:val="20"/>
                <w:szCs w:val="20"/>
              </w:rPr>
            </w:pPr>
            <w:r w:rsidRPr="000A11F9">
              <w:rPr>
                <w:rFonts w:ascii="Calibri" w:hAnsi="Calibri" w:cs="Calibri"/>
                <w:sz w:val="20"/>
                <w:szCs w:val="20"/>
              </w:rPr>
              <w:t>LT-26133</w:t>
            </w:r>
          </w:p>
        </w:tc>
        <w:tc>
          <w:tcPr>
            <w:tcW w:w="2347" w:type="dxa"/>
            <w:shd w:val="pct20" w:color="000000" w:fill="FFFFFF"/>
          </w:tcPr>
          <w:p w:rsidR="00AF36AE" w:rsidRPr="000A11F9" w:rsidRDefault="00AF36AE" w:rsidP="006811F1">
            <w:pPr>
              <w:rPr>
                <w:rFonts w:ascii="Calibri" w:hAnsi="Calibri" w:cs="Calibri"/>
                <w:sz w:val="20"/>
                <w:szCs w:val="20"/>
              </w:rPr>
            </w:pPr>
            <w:r w:rsidRPr="000A11F9">
              <w:rPr>
                <w:rFonts w:ascii="Calibri" w:hAnsi="Calibri" w:cs="Calibri"/>
                <w:sz w:val="20"/>
                <w:szCs w:val="20"/>
              </w:rPr>
              <w:t>Up to 244 Watt (Tier 1) Interior Fixture CFL replacing greater than 400 Watt lamp base case</w:t>
            </w:r>
          </w:p>
        </w:tc>
        <w:tc>
          <w:tcPr>
            <w:tcW w:w="2033" w:type="dxa"/>
            <w:shd w:val="pct20" w:color="000000" w:fill="FFFFFF"/>
            <w:vAlign w:val="center"/>
          </w:tcPr>
          <w:p w:rsidR="00AF36AE" w:rsidRPr="000A11F9" w:rsidRDefault="00AF36AE" w:rsidP="006811F1">
            <w:pPr>
              <w:jc w:val="center"/>
              <w:rPr>
                <w:rFonts w:ascii="Calibri" w:hAnsi="Calibri" w:cs="Calibri"/>
                <w:sz w:val="20"/>
                <w:szCs w:val="20"/>
                <w:highlight w:val="yellow"/>
              </w:rPr>
            </w:pPr>
            <w:r w:rsidRPr="000A11F9">
              <w:rPr>
                <w:rFonts w:ascii="Calibri" w:hAnsi="Calibri" w:cs="Calibri"/>
                <w:sz w:val="20"/>
                <w:szCs w:val="20"/>
              </w:rPr>
              <w:t>458W (based on a 400W MH lamp) – MH400/1</w:t>
            </w:r>
          </w:p>
        </w:tc>
        <w:tc>
          <w:tcPr>
            <w:tcW w:w="1781" w:type="dxa"/>
            <w:shd w:val="pct20" w:color="000000" w:fill="FFFFFF"/>
            <w:vAlign w:val="center"/>
          </w:tcPr>
          <w:p w:rsidR="00AF36AE" w:rsidRDefault="00AF36AE" w:rsidP="00AF36AE">
            <w:pPr>
              <w:jc w:val="center"/>
            </w:pPr>
            <w:r>
              <w:rPr>
                <w:rFonts w:ascii="Calibri" w:hAnsi="Calibri" w:cs="Calibri"/>
                <w:sz w:val="20"/>
                <w:szCs w:val="20"/>
              </w:rPr>
              <w:t>400</w:t>
            </w:r>
            <w:r w:rsidRPr="0029220D">
              <w:rPr>
                <w:rFonts w:ascii="Calibri" w:hAnsi="Calibri" w:cs="Calibri"/>
                <w:sz w:val="20"/>
                <w:szCs w:val="20"/>
              </w:rPr>
              <w:t>W</w:t>
            </w:r>
            <w:r w:rsidR="0071606B">
              <w:rPr>
                <w:rFonts w:ascii="Calibri" w:hAnsi="Calibri" w:cs="Calibri"/>
                <w:sz w:val="20"/>
                <w:szCs w:val="20"/>
              </w:rPr>
              <w:t>*</w:t>
            </w:r>
            <w:r w:rsidRPr="0029220D">
              <w:rPr>
                <w:rFonts w:ascii="Calibri" w:hAnsi="Calibri" w:cs="Calibri"/>
                <w:sz w:val="20"/>
                <w:szCs w:val="20"/>
              </w:rPr>
              <w:t xml:space="preserve"> (based on a </w:t>
            </w:r>
            <w:r>
              <w:rPr>
                <w:rFonts w:ascii="Calibri" w:hAnsi="Calibri" w:cs="Calibri"/>
                <w:sz w:val="20"/>
                <w:szCs w:val="20"/>
              </w:rPr>
              <w:t>350</w:t>
            </w:r>
            <w:r w:rsidRPr="0029220D">
              <w:rPr>
                <w:rFonts w:ascii="Calibri" w:hAnsi="Calibri" w:cs="Calibri"/>
                <w:sz w:val="20"/>
                <w:szCs w:val="20"/>
              </w:rPr>
              <w:t>W PSMH lamp) – PSMH</w:t>
            </w:r>
            <w:r>
              <w:rPr>
                <w:rFonts w:ascii="Calibri" w:hAnsi="Calibri" w:cs="Calibri"/>
                <w:sz w:val="20"/>
                <w:szCs w:val="20"/>
              </w:rPr>
              <w:t>3</w:t>
            </w:r>
            <w:r w:rsidRPr="0029220D">
              <w:rPr>
                <w:rFonts w:ascii="Calibri" w:hAnsi="Calibri" w:cs="Calibri"/>
                <w:sz w:val="20"/>
                <w:szCs w:val="20"/>
              </w:rPr>
              <w:t>50/1</w:t>
            </w:r>
          </w:p>
        </w:tc>
        <w:tc>
          <w:tcPr>
            <w:tcW w:w="2112" w:type="dxa"/>
            <w:shd w:val="pct20" w:color="000000" w:fill="FFFFFF"/>
            <w:vAlign w:val="center"/>
          </w:tcPr>
          <w:p w:rsidR="00AF36AE" w:rsidRPr="000A11F9" w:rsidRDefault="00AF36AE" w:rsidP="00D52AFC">
            <w:pPr>
              <w:jc w:val="center"/>
              <w:rPr>
                <w:rFonts w:ascii="Calibri" w:hAnsi="Calibri" w:cs="Calibri"/>
                <w:sz w:val="20"/>
                <w:szCs w:val="20"/>
              </w:rPr>
            </w:pPr>
            <w:r>
              <w:rPr>
                <w:rFonts w:ascii="Calibri" w:hAnsi="Calibri" w:cs="Calibri"/>
                <w:sz w:val="20"/>
                <w:szCs w:val="20"/>
              </w:rPr>
              <w:t>244</w:t>
            </w:r>
          </w:p>
        </w:tc>
      </w:tr>
      <w:tr w:rsidR="00AF36AE" w:rsidRPr="0076695E" w:rsidTr="00AF36AE">
        <w:trPr>
          <w:trHeight w:val="315"/>
          <w:jc w:val="center"/>
        </w:trPr>
        <w:tc>
          <w:tcPr>
            <w:tcW w:w="1303" w:type="dxa"/>
            <w:shd w:val="pct5" w:color="000000" w:fill="FFFFFF"/>
            <w:vAlign w:val="center"/>
          </w:tcPr>
          <w:p w:rsidR="00AF36AE" w:rsidRPr="000A11F9" w:rsidRDefault="00AF36AE" w:rsidP="006811F1">
            <w:pPr>
              <w:jc w:val="center"/>
              <w:rPr>
                <w:rFonts w:ascii="Calibri" w:hAnsi="Calibri" w:cs="Calibri"/>
                <w:sz w:val="20"/>
                <w:szCs w:val="20"/>
              </w:rPr>
            </w:pPr>
            <w:r w:rsidRPr="000A11F9">
              <w:rPr>
                <w:rFonts w:ascii="Calibri" w:hAnsi="Calibri" w:cs="Calibri"/>
                <w:sz w:val="20"/>
                <w:szCs w:val="20"/>
              </w:rPr>
              <w:t>LT-84901</w:t>
            </w:r>
          </w:p>
        </w:tc>
        <w:tc>
          <w:tcPr>
            <w:tcW w:w="2347" w:type="dxa"/>
            <w:shd w:val="pct5" w:color="000000" w:fill="FFFFFF"/>
          </w:tcPr>
          <w:p w:rsidR="00AF36AE" w:rsidRPr="000A11F9" w:rsidRDefault="00AF36AE" w:rsidP="006811F1">
            <w:pPr>
              <w:rPr>
                <w:rFonts w:ascii="Calibri" w:hAnsi="Calibri" w:cs="Calibri"/>
                <w:sz w:val="20"/>
                <w:szCs w:val="20"/>
              </w:rPr>
            </w:pPr>
            <w:r w:rsidRPr="000A11F9">
              <w:rPr>
                <w:rFonts w:ascii="Calibri" w:hAnsi="Calibri" w:cs="Calibri"/>
                <w:sz w:val="20"/>
                <w:szCs w:val="20"/>
              </w:rPr>
              <w:t>Up to 360 Watt (Tier 2) Interior Fixture CFL replacing greater than 400 Watt lamp base case</w:t>
            </w:r>
          </w:p>
        </w:tc>
        <w:tc>
          <w:tcPr>
            <w:tcW w:w="2033" w:type="dxa"/>
            <w:shd w:val="pct5" w:color="000000" w:fill="FFFFFF"/>
            <w:vAlign w:val="center"/>
          </w:tcPr>
          <w:p w:rsidR="00AF36AE" w:rsidRPr="000A11F9" w:rsidRDefault="00AF36AE" w:rsidP="006811F1">
            <w:pPr>
              <w:jc w:val="center"/>
              <w:rPr>
                <w:rFonts w:ascii="Calibri" w:hAnsi="Calibri" w:cs="Calibri"/>
                <w:sz w:val="20"/>
                <w:szCs w:val="20"/>
              </w:rPr>
            </w:pPr>
            <w:r w:rsidRPr="000A11F9">
              <w:rPr>
                <w:rFonts w:ascii="Calibri" w:hAnsi="Calibri" w:cs="Calibri"/>
                <w:sz w:val="20"/>
                <w:szCs w:val="20"/>
              </w:rPr>
              <w:t>458W (based on a 400W MH lamp) – MH400/1</w:t>
            </w:r>
          </w:p>
        </w:tc>
        <w:tc>
          <w:tcPr>
            <w:tcW w:w="1781" w:type="dxa"/>
            <w:shd w:val="pct5" w:color="000000" w:fill="FFFFFF"/>
            <w:vAlign w:val="center"/>
          </w:tcPr>
          <w:p w:rsidR="00AF36AE" w:rsidRDefault="00AF36AE" w:rsidP="00AF36AE">
            <w:pPr>
              <w:jc w:val="center"/>
            </w:pPr>
            <w:r>
              <w:rPr>
                <w:rFonts w:ascii="Calibri" w:hAnsi="Calibri" w:cs="Calibri"/>
                <w:sz w:val="20"/>
                <w:szCs w:val="20"/>
              </w:rPr>
              <w:t>456</w:t>
            </w:r>
            <w:r w:rsidRPr="0029220D">
              <w:rPr>
                <w:rFonts w:ascii="Calibri" w:hAnsi="Calibri" w:cs="Calibri"/>
                <w:sz w:val="20"/>
                <w:szCs w:val="20"/>
              </w:rPr>
              <w:t>W</w:t>
            </w:r>
            <w:r w:rsidR="0071606B">
              <w:rPr>
                <w:rFonts w:ascii="Calibri" w:hAnsi="Calibri" w:cs="Calibri"/>
                <w:sz w:val="20"/>
                <w:szCs w:val="20"/>
              </w:rPr>
              <w:t>*</w:t>
            </w:r>
            <w:r w:rsidRPr="0029220D">
              <w:rPr>
                <w:rFonts w:ascii="Calibri" w:hAnsi="Calibri" w:cs="Calibri"/>
                <w:sz w:val="20"/>
                <w:szCs w:val="20"/>
              </w:rPr>
              <w:t xml:space="preserve"> (based on a </w:t>
            </w:r>
            <w:r>
              <w:rPr>
                <w:rFonts w:ascii="Calibri" w:hAnsi="Calibri" w:cs="Calibri"/>
                <w:sz w:val="20"/>
                <w:szCs w:val="20"/>
              </w:rPr>
              <w:t>40</w:t>
            </w:r>
            <w:r w:rsidRPr="0029220D">
              <w:rPr>
                <w:rFonts w:ascii="Calibri" w:hAnsi="Calibri" w:cs="Calibri"/>
                <w:sz w:val="20"/>
                <w:szCs w:val="20"/>
              </w:rPr>
              <w:t>0W PSMH lamp) – PSMH</w:t>
            </w:r>
            <w:r>
              <w:rPr>
                <w:rFonts w:ascii="Calibri" w:hAnsi="Calibri" w:cs="Calibri"/>
                <w:sz w:val="20"/>
                <w:szCs w:val="20"/>
              </w:rPr>
              <w:t>40</w:t>
            </w:r>
            <w:r w:rsidRPr="0029220D">
              <w:rPr>
                <w:rFonts w:ascii="Calibri" w:hAnsi="Calibri" w:cs="Calibri"/>
                <w:sz w:val="20"/>
                <w:szCs w:val="20"/>
              </w:rPr>
              <w:t>0/1</w:t>
            </w:r>
          </w:p>
        </w:tc>
        <w:tc>
          <w:tcPr>
            <w:tcW w:w="2112" w:type="dxa"/>
            <w:shd w:val="pct5" w:color="000000" w:fill="FFFFFF"/>
            <w:vAlign w:val="center"/>
          </w:tcPr>
          <w:p w:rsidR="00AF36AE" w:rsidRPr="000A11F9" w:rsidRDefault="00AF36AE" w:rsidP="00D52AFC">
            <w:pPr>
              <w:jc w:val="center"/>
              <w:rPr>
                <w:rFonts w:ascii="Calibri" w:hAnsi="Calibri" w:cs="Calibri"/>
                <w:sz w:val="20"/>
                <w:szCs w:val="20"/>
              </w:rPr>
            </w:pPr>
            <w:r>
              <w:rPr>
                <w:rFonts w:ascii="Calibri" w:hAnsi="Calibri" w:cs="Calibri"/>
                <w:sz w:val="20"/>
                <w:szCs w:val="20"/>
              </w:rPr>
              <w:t>360</w:t>
            </w:r>
          </w:p>
        </w:tc>
      </w:tr>
    </w:tbl>
    <w:p w:rsidR="0071606B" w:rsidRDefault="0071606B" w:rsidP="0071606B">
      <w:pPr>
        <w:rPr>
          <w:rFonts w:asciiTheme="minorHAnsi" w:hAnsiTheme="minorHAnsi" w:cstheme="minorHAnsi"/>
          <w:sz w:val="18"/>
          <w:szCs w:val="18"/>
        </w:rPr>
      </w:pPr>
      <w:r>
        <w:rPr>
          <w:rFonts w:asciiTheme="minorHAnsi" w:hAnsiTheme="minorHAnsi" w:cstheme="minorHAnsi"/>
          <w:sz w:val="18"/>
          <w:szCs w:val="18"/>
        </w:rPr>
        <w:t>*This is the wattage for a code case fixture that is lumen equivalent to the base case fixture. This value differs from the May 30 disposition value.</w:t>
      </w:r>
    </w:p>
    <w:p w:rsidR="0020686A" w:rsidRPr="00FD6892" w:rsidRDefault="0020686A" w:rsidP="0020686A">
      <w:pPr>
        <w:rPr>
          <w:rFonts w:ascii="Calibri" w:hAnsi="Calibri" w:cs="Calibri"/>
          <w:color w:val="FF0000"/>
          <w:sz w:val="22"/>
          <w:szCs w:val="22"/>
        </w:rPr>
      </w:pPr>
    </w:p>
    <w:p w:rsidR="0020686A" w:rsidRPr="00FD6892" w:rsidRDefault="0020686A" w:rsidP="0020686A">
      <w:pPr>
        <w:rPr>
          <w:rFonts w:ascii="Calibri" w:hAnsi="Calibri" w:cs="Calibri"/>
          <w:sz w:val="22"/>
          <w:szCs w:val="22"/>
        </w:rPr>
      </w:pPr>
      <w:r w:rsidRPr="00E032B3">
        <w:rPr>
          <w:rFonts w:ascii="Calibri" w:hAnsi="Calibri" w:cs="Calibri"/>
          <w:sz w:val="22"/>
          <w:szCs w:val="22"/>
        </w:rPr>
        <w:t xml:space="preserve">The example below shows the energy savings calculation for replacing a 95W metal halide with a </w:t>
      </w:r>
      <w:r w:rsidR="0071606B" w:rsidRPr="00E032B3">
        <w:rPr>
          <w:rFonts w:ascii="Calibri" w:hAnsi="Calibri" w:cs="Calibri"/>
          <w:sz w:val="22"/>
          <w:szCs w:val="22"/>
        </w:rPr>
        <w:t>70</w:t>
      </w:r>
      <w:r w:rsidRPr="00E032B3">
        <w:rPr>
          <w:rFonts w:ascii="Calibri" w:hAnsi="Calibri" w:cs="Calibri"/>
          <w:sz w:val="22"/>
          <w:szCs w:val="22"/>
        </w:rPr>
        <w:t xml:space="preserve">W CFL fixture for the </w:t>
      </w:r>
      <w:r w:rsidR="0071606B" w:rsidRPr="00E032B3">
        <w:rPr>
          <w:rFonts w:ascii="Calibri" w:hAnsi="Calibri" w:cs="Calibri"/>
          <w:sz w:val="22"/>
          <w:szCs w:val="22"/>
        </w:rPr>
        <w:t>Agricultural building type</w:t>
      </w:r>
      <w:r w:rsidRPr="00E032B3">
        <w:rPr>
          <w:rFonts w:ascii="Calibri" w:hAnsi="Calibri" w:cs="Calibri"/>
          <w:sz w:val="22"/>
          <w:szCs w:val="22"/>
        </w:rPr>
        <w:t xml:space="preserve"> in CZ6.</w:t>
      </w:r>
    </w:p>
    <w:p w:rsidR="0020686A" w:rsidRPr="00FD6892" w:rsidRDefault="0020686A" w:rsidP="0020686A">
      <w:pPr>
        <w:pStyle w:val="Caption"/>
        <w:rPr>
          <w:rFonts w:ascii="Calibri" w:hAnsi="Calibri" w:cs="Calibri"/>
          <w:sz w:val="22"/>
          <w:szCs w:val="22"/>
        </w:rPr>
      </w:pPr>
      <w:bookmarkStart w:id="20" w:name="_Ref246745184"/>
    </w:p>
    <w:p w:rsidR="0020686A" w:rsidRPr="00FD6892" w:rsidRDefault="0020686A" w:rsidP="0020686A">
      <w:pPr>
        <w:pStyle w:val="Caption"/>
        <w:rPr>
          <w:rFonts w:ascii="Calibri" w:hAnsi="Calibri" w:cs="Calibri"/>
          <w:sz w:val="22"/>
          <w:szCs w:val="22"/>
        </w:rPr>
      </w:pPr>
      <w:bookmarkStart w:id="21" w:name="_Ref299963447"/>
      <w:r w:rsidRPr="00FD6892">
        <w:rPr>
          <w:rFonts w:ascii="Calibri" w:hAnsi="Calibri" w:cs="Calibri"/>
          <w:sz w:val="22"/>
          <w:szCs w:val="22"/>
        </w:rPr>
        <w:t xml:space="preserve">Equation </w:t>
      </w:r>
      <w:r w:rsidRPr="00FD6892">
        <w:rPr>
          <w:rFonts w:ascii="Calibri" w:hAnsi="Calibri" w:cs="Calibri"/>
          <w:sz w:val="22"/>
          <w:szCs w:val="22"/>
        </w:rPr>
        <w:fldChar w:fldCharType="begin"/>
      </w:r>
      <w:r w:rsidRPr="00FD6892">
        <w:rPr>
          <w:rFonts w:ascii="Calibri" w:hAnsi="Calibri" w:cs="Calibri"/>
          <w:sz w:val="22"/>
          <w:szCs w:val="22"/>
        </w:rPr>
        <w:instrText xml:space="preserve"> SEQ Equation \* ARABIC </w:instrText>
      </w:r>
      <w:r w:rsidRPr="00FD6892">
        <w:rPr>
          <w:rFonts w:ascii="Calibri" w:hAnsi="Calibri" w:cs="Calibri"/>
          <w:sz w:val="22"/>
          <w:szCs w:val="22"/>
        </w:rPr>
        <w:fldChar w:fldCharType="separate"/>
      </w:r>
      <w:r w:rsidR="00AF6312">
        <w:rPr>
          <w:rFonts w:ascii="Calibri" w:hAnsi="Calibri" w:cs="Calibri"/>
          <w:noProof/>
          <w:sz w:val="22"/>
          <w:szCs w:val="22"/>
        </w:rPr>
        <w:t>1</w:t>
      </w:r>
      <w:r w:rsidRPr="00FD6892">
        <w:rPr>
          <w:rFonts w:ascii="Calibri" w:hAnsi="Calibri" w:cs="Calibri"/>
          <w:sz w:val="22"/>
          <w:szCs w:val="22"/>
        </w:rPr>
        <w:fldChar w:fldCharType="end"/>
      </w:r>
      <w:bookmarkEnd w:id="20"/>
      <w:bookmarkEnd w:id="21"/>
    </w:p>
    <w:p w:rsidR="0020686A" w:rsidRPr="00FD6892" w:rsidRDefault="00E032B3" w:rsidP="0020686A">
      <w:pPr>
        <w:rPr>
          <w:rFonts w:ascii="Calibri" w:hAnsi="Calibri" w:cs="Calibri"/>
          <w:position w:val="-32"/>
          <w:sz w:val="22"/>
          <w:szCs w:val="22"/>
        </w:rPr>
      </w:pPr>
      <w:r w:rsidRPr="00FD6892">
        <w:rPr>
          <w:rFonts w:ascii="Calibri" w:hAnsi="Calibri" w:cs="Calibri"/>
          <w:position w:val="-30"/>
          <w:sz w:val="22"/>
          <w:szCs w:val="22"/>
        </w:rPr>
        <w:object w:dxaOrig="756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8.75pt;height:36pt" o:ole="">
            <v:imagedata r:id="rId12" o:title=""/>
          </v:shape>
          <o:OLEObject Type="Embed" ProgID="Equation.3" ShapeID="_x0000_i1025" DrawAspect="Content" ObjectID="_1468997056" r:id="rId13"/>
        </w:object>
      </w:r>
    </w:p>
    <w:p w:rsidR="0020686A" w:rsidRDefault="0020686A" w:rsidP="0020686A">
      <w:pPr>
        <w:rPr>
          <w:rFonts w:ascii="Calibri" w:hAnsi="Calibri" w:cs="Calibri"/>
          <w:sz w:val="22"/>
          <w:szCs w:val="22"/>
        </w:rPr>
      </w:pPr>
    </w:p>
    <w:p w:rsidR="0071606B" w:rsidRPr="00111E03" w:rsidRDefault="0071606B" w:rsidP="0071606B">
      <w:pPr>
        <w:rPr>
          <w:rFonts w:asciiTheme="minorHAnsi" w:hAnsiTheme="minorHAnsi" w:cstheme="minorHAnsi"/>
          <w:b/>
          <w:sz w:val="22"/>
          <w:szCs w:val="22"/>
        </w:rPr>
      </w:pPr>
      <w:r w:rsidRPr="00111E03">
        <w:rPr>
          <w:rFonts w:asciiTheme="minorHAnsi" w:hAnsiTheme="minorHAnsi" w:cstheme="minorHAnsi"/>
          <w:b/>
          <w:sz w:val="22"/>
          <w:szCs w:val="22"/>
        </w:rPr>
        <w:t>1</w:t>
      </w:r>
      <w:r w:rsidRPr="00111E03">
        <w:rPr>
          <w:rFonts w:asciiTheme="minorHAnsi" w:hAnsiTheme="minorHAnsi" w:cstheme="minorHAnsi"/>
          <w:b/>
          <w:sz w:val="22"/>
          <w:szCs w:val="22"/>
          <w:vertAlign w:val="superscript"/>
        </w:rPr>
        <w:t>st</w:t>
      </w:r>
      <w:r w:rsidRPr="00111E03">
        <w:rPr>
          <w:rFonts w:asciiTheme="minorHAnsi" w:hAnsiTheme="minorHAnsi" w:cstheme="minorHAnsi"/>
          <w:b/>
          <w:sz w:val="22"/>
          <w:szCs w:val="22"/>
        </w:rPr>
        <w:t xml:space="preserve"> baseline</w:t>
      </w:r>
    </w:p>
    <w:p w:rsidR="0071606B" w:rsidRDefault="00E032B3" w:rsidP="0071606B">
      <w:pPr>
        <w:rPr>
          <w:rFonts w:asciiTheme="minorHAnsi" w:hAnsiTheme="minorHAnsi" w:cstheme="minorHAnsi"/>
          <w:sz w:val="22"/>
          <w:szCs w:val="22"/>
        </w:rPr>
      </w:pPr>
      <w:r w:rsidRPr="00FD6892">
        <w:rPr>
          <w:rFonts w:ascii="Calibri" w:hAnsi="Calibri" w:cs="Calibri"/>
          <w:position w:val="-30"/>
          <w:sz w:val="22"/>
          <w:szCs w:val="22"/>
        </w:rPr>
        <w:object w:dxaOrig="6120" w:dyaOrig="720">
          <v:shape id="_x0000_i1026" type="#_x0000_t75" style="width:306pt;height:36pt" o:ole="">
            <v:imagedata r:id="rId14" o:title=""/>
          </v:shape>
          <o:OLEObject Type="Embed" ProgID="Equation.3" ShapeID="_x0000_i1026" DrawAspect="Content" ObjectID="_1468997057" r:id="rId15"/>
        </w:object>
      </w:r>
    </w:p>
    <w:p w:rsidR="0071606B" w:rsidRDefault="0071606B" w:rsidP="0071606B"/>
    <w:p w:rsidR="0071606B" w:rsidRPr="00111E03" w:rsidRDefault="0071606B" w:rsidP="0071606B">
      <w:pPr>
        <w:rPr>
          <w:rFonts w:asciiTheme="minorHAnsi" w:hAnsiTheme="minorHAnsi" w:cstheme="minorHAnsi"/>
          <w:b/>
          <w:sz w:val="22"/>
          <w:szCs w:val="22"/>
        </w:rPr>
      </w:pPr>
      <w:r w:rsidRPr="00111E03">
        <w:rPr>
          <w:rFonts w:asciiTheme="minorHAnsi" w:hAnsiTheme="minorHAnsi" w:cstheme="minorHAnsi"/>
          <w:b/>
          <w:sz w:val="22"/>
          <w:szCs w:val="22"/>
        </w:rPr>
        <w:t>2</w:t>
      </w:r>
      <w:r w:rsidRPr="00111E03">
        <w:rPr>
          <w:rFonts w:asciiTheme="minorHAnsi" w:hAnsiTheme="minorHAnsi" w:cstheme="minorHAnsi"/>
          <w:b/>
          <w:sz w:val="22"/>
          <w:szCs w:val="22"/>
          <w:vertAlign w:val="superscript"/>
        </w:rPr>
        <w:t>nd</w:t>
      </w:r>
      <w:r w:rsidRPr="00111E03">
        <w:rPr>
          <w:rFonts w:asciiTheme="minorHAnsi" w:hAnsiTheme="minorHAnsi" w:cstheme="minorHAnsi"/>
          <w:b/>
          <w:sz w:val="22"/>
          <w:szCs w:val="22"/>
        </w:rPr>
        <w:t xml:space="preserve"> baseline</w:t>
      </w:r>
    </w:p>
    <w:p w:rsidR="0071606B" w:rsidRPr="006A56A2" w:rsidRDefault="00E032B3" w:rsidP="0071606B">
      <w:pPr>
        <w:rPr>
          <w:rFonts w:asciiTheme="minorHAnsi" w:hAnsiTheme="minorHAnsi" w:cstheme="minorHAnsi"/>
          <w:sz w:val="22"/>
          <w:szCs w:val="22"/>
        </w:rPr>
      </w:pPr>
      <w:r w:rsidRPr="00FD6892">
        <w:rPr>
          <w:rFonts w:ascii="Calibri" w:hAnsi="Calibri" w:cs="Calibri"/>
          <w:position w:val="-30"/>
          <w:sz w:val="22"/>
          <w:szCs w:val="22"/>
        </w:rPr>
        <w:object w:dxaOrig="5040" w:dyaOrig="720">
          <v:shape id="_x0000_i1027" type="#_x0000_t75" style="width:252pt;height:36pt" o:ole="">
            <v:imagedata r:id="rId16" o:title=""/>
          </v:shape>
          <o:OLEObject Type="Embed" ProgID="Equation.3" ShapeID="_x0000_i1027" DrawAspect="Content" ObjectID="_1468997058" r:id="rId17"/>
        </w:object>
      </w:r>
    </w:p>
    <w:p w:rsidR="0071606B" w:rsidRDefault="0071606B" w:rsidP="0020686A">
      <w:pPr>
        <w:rPr>
          <w:rFonts w:ascii="Calibri" w:hAnsi="Calibri" w:cs="Calibri"/>
          <w:sz w:val="22"/>
          <w:szCs w:val="22"/>
        </w:rPr>
      </w:pPr>
    </w:p>
    <w:p w:rsidR="0071606B" w:rsidRPr="00FD6892" w:rsidRDefault="0071606B" w:rsidP="0020686A">
      <w:pPr>
        <w:rPr>
          <w:rFonts w:ascii="Calibri" w:hAnsi="Calibri" w:cs="Calibri"/>
          <w:sz w:val="22"/>
          <w:szCs w:val="22"/>
        </w:rPr>
      </w:pPr>
    </w:p>
    <w:p w:rsidR="0020686A" w:rsidRPr="00FD6892" w:rsidRDefault="0020686A" w:rsidP="0020686A">
      <w:pPr>
        <w:rPr>
          <w:rFonts w:ascii="Calibri" w:hAnsi="Calibri" w:cs="Calibri"/>
          <w:sz w:val="22"/>
          <w:szCs w:val="22"/>
        </w:rPr>
      </w:pPr>
      <w:r w:rsidRPr="00FD6892">
        <w:rPr>
          <w:rFonts w:ascii="Calibri" w:hAnsi="Calibri" w:cs="Calibri"/>
          <w:sz w:val="22"/>
          <w:szCs w:val="22"/>
        </w:rPr>
        <w:t xml:space="preserve">The demand difference (Watts per unit) is simply the difference between the electric demand of the base unit and the electric demand of the energy efficient unit multiplied by the coincident diversity </w:t>
      </w:r>
      <w:r w:rsidRPr="00FD6892">
        <w:rPr>
          <w:rFonts w:ascii="Calibri" w:hAnsi="Calibri" w:cs="Calibri"/>
          <w:sz w:val="22"/>
          <w:szCs w:val="22"/>
        </w:rPr>
        <w:lastRenderedPageBreak/>
        <w:t xml:space="preserve">factor and demand interactive effect as shown in </w:t>
      </w:r>
      <w:r w:rsidRPr="00FD6892">
        <w:rPr>
          <w:rFonts w:ascii="Calibri" w:hAnsi="Calibri" w:cs="Calibri"/>
          <w:sz w:val="22"/>
          <w:szCs w:val="22"/>
        </w:rPr>
        <w:fldChar w:fldCharType="begin"/>
      </w:r>
      <w:r w:rsidRPr="00FD6892">
        <w:rPr>
          <w:rFonts w:ascii="Calibri" w:hAnsi="Calibri" w:cs="Calibri"/>
          <w:sz w:val="22"/>
          <w:szCs w:val="22"/>
        </w:rPr>
        <w:instrText xml:space="preserve"> REF _Ref246746556 \h  \* MERGEFORMAT </w:instrText>
      </w:r>
      <w:r w:rsidRPr="00FD6892">
        <w:rPr>
          <w:rFonts w:ascii="Calibri" w:hAnsi="Calibri" w:cs="Calibri"/>
          <w:sz w:val="22"/>
          <w:szCs w:val="22"/>
        </w:rPr>
      </w:r>
      <w:r w:rsidRPr="00FD6892">
        <w:rPr>
          <w:rFonts w:ascii="Calibri" w:hAnsi="Calibri" w:cs="Calibri"/>
          <w:sz w:val="22"/>
          <w:szCs w:val="22"/>
        </w:rPr>
        <w:fldChar w:fldCharType="separate"/>
      </w:r>
      <w:r w:rsidR="00AF6312" w:rsidRPr="00FD6892">
        <w:rPr>
          <w:rFonts w:ascii="Calibri" w:hAnsi="Calibri" w:cs="Calibri"/>
          <w:sz w:val="22"/>
          <w:szCs w:val="22"/>
        </w:rPr>
        <w:t xml:space="preserve">Equation </w:t>
      </w:r>
      <w:r w:rsidR="00AF6312">
        <w:rPr>
          <w:rFonts w:ascii="Calibri" w:hAnsi="Calibri" w:cs="Calibri"/>
          <w:sz w:val="22"/>
          <w:szCs w:val="22"/>
        </w:rPr>
        <w:t>2</w:t>
      </w:r>
      <w:r w:rsidRPr="00FD6892">
        <w:rPr>
          <w:rFonts w:ascii="Calibri" w:hAnsi="Calibri" w:cs="Calibri"/>
          <w:sz w:val="22"/>
          <w:szCs w:val="22"/>
        </w:rPr>
        <w:fldChar w:fldCharType="end"/>
      </w:r>
      <w:r w:rsidRPr="00FD6892">
        <w:rPr>
          <w:rFonts w:ascii="Calibri" w:hAnsi="Calibri" w:cs="Calibri"/>
          <w:sz w:val="22"/>
          <w:szCs w:val="22"/>
        </w:rPr>
        <w:t>.  Similar to the energy savings, the demand difference is calculated for both the 1</w:t>
      </w:r>
      <w:r w:rsidRPr="00FD6892">
        <w:rPr>
          <w:rFonts w:ascii="Calibri" w:hAnsi="Calibri" w:cs="Calibri"/>
          <w:sz w:val="22"/>
          <w:szCs w:val="22"/>
          <w:vertAlign w:val="superscript"/>
        </w:rPr>
        <w:t>st</w:t>
      </w:r>
      <w:r w:rsidRPr="00FD6892">
        <w:rPr>
          <w:rFonts w:ascii="Calibri" w:hAnsi="Calibri" w:cs="Calibri"/>
          <w:sz w:val="22"/>
          <w:szCs w:val="22"/>
        </w:rPr>
        <w:t xml:space="preserve"> baseline period and 2nd baseline period for retrofit measures.</w:t>
      </w:r>
    </w:p>
    <w:p w:rsidR="0020686A" w:rsidRPr="00FD6892" w:rsidRDefault="0020686A" w:rsidP="0020686A">
      <w:pPr>
        <w:rPr>
          <w:rFonts w:ascii="Calibri" w:hAnsi="Calibri" w:cs="Calibri"/>
          <w:sz w:val="22"/>
          <w:szCs w:val="22"/>
        </w:rPr>
      </w:pPr>
    </w:p>
    <w:p w:rsidR="0020686A" w:rsidRPr="00FD6892" w:rsidRDefault="0020686A" w:rsidP="0020686A">
      <w:pPr>
        <w:rPr>
          <w:rFonts w:ascii="Calibri" w:hAnsi="Calibri" w:cs="Calibri"/>
          <w:sz w:val="22"/>
          <w:szCs w:val="22"/>
        </w:rPr>
      </w:pPr>
      <w:r w:rsidRPr="00FD6892">
        <w:rPr>
          <w:rFonts w:ascii="Calibri" w:hAnsi="Calibri" w:cs="Calibri"/>
          <w:sz w:val="22"/>
          <w:szCs w:val="22"/>
        </w:rPr>
        <w:t>The example below shows the demand reduction calculation for replacing a</w:t>
      </w:r>
      <w:r w:rsidR="006811F1">
        <w:rPr>
          <w:rFonts w:ascii="Calibri" w:hAnsi="Calibri" w:cs="Calibri"/>
          <w:sz w:val="22"/>
          <w:szCs w:val="22"/>
        </w:rPr>
        <w:t xml:space="preserve"> 95W</w:t>
      </w:r>
      <w:r w:rsidRPr="00FD6892">
        <w:rPr>
          <w:rFonts w:ascii="Calibri" w:hAnsi="Calibri" w:cs="Calibri"/>
          <w:sz w:val="22"/>
          <w:szCs w:val="22"/>
        </w:rPr>
        <w:t xml:space="preserve"> metal halide with a </w:t>
      </w:r>
      <w:r w:rsidR="00111E03">
        <w:rPr>
          <w:rFonts w:ascii="Calibri" w:hAnsi="Calibri" w:cs="Calibri"/>
          <w:sz w:val="22"/>
          <w:szCs w:val="22"/>
        </w:rPr>
        <w:t>70</w:t>
      </w:r>
      <w:r w:rsidRPr="00FD6892">
        <w:rPr>
          <w:rFonts w:ascii="Calibri" w:hAnsi="Calibri" w:cs="Calibri"/>
          <w:sz w:val="22"/>
          <w:szCs w:val="22"/>
        </w:rPr>
        <w:t xml:space="preserve">W CFL fixture for </w:t>
      </w:r>
      <w:r w:rsidR="00111E03">
        <w:rPr>
          <w:rFonts w:ascii="Calibri" w:hAnsi="Calibri" w:cs="Calibri"/>
          <w:sz w:val="22"/>
          <w:szCs w:val="22"/>
        </w:rPr>
        <w:t>Agricultural building type</w:t>
      </w:r>
      <w:r w:rsidRPr="00FD6892">
        <w:rPr>
          <w:rFonts w:ascii="Calibri" w:hAnsi="Calibri" w:cs="Calibri"/>
          <w:sz w:val="22"/>
          <w:szCs w:val="22"/>
        </w:rPr>
        <w:t xml:space="preserve"> in CZ6.</w:t>
      </w:r>
    </w:p>
    <w:p w:rsidR="0020686A" w:rsidRPr="00FD6892" w:rsidRDefault="0020686A" w:rsidP="0020686A">
      <w:pPr>
        <w:rPr>
          <w:rFonts w:ascii="Calibri" w:hAnsi="Calibri" w:cs="Calibri"/>
          <w:sz w:val="22"/>
          <w:szCs w:val="22"/>
        </w:rPr>
      </w:pPr>
    </w:p>
    <w:p w:rsidR="0020686A" w:rsidRPr="00FD6892" w:rsidRDefault="0020686A" w:rsidP="0020686A">
      <w:pPr>
        <w:pStyle w:val="Caption"/>
        <w:rPr>
          <w:rFonts w:ascii="Calibri" w:hAnsi="Calibri" w:cs="Calibri"/>
          <w:sz w:val="22"/>
          <w:szCs w:val="22"/>
        </w:rPr>
      </w:pPr>
      <w:bookmarkStart w:id="22" w:name="_Ref246746556"/>
      <w:r w:rsidRPr="00FD6892">
        <w:rPr>
          <w:rFonts w:ascii="Calibri" w:hAnsi="Calibri" w:cs="Calibri"/>
          <w:sz w:val="22"/>
          <w:szCs w:val="22"/>
        </w:rPr>
        <w:t xml:space="preserve">Equation </w:t>
      </w:r>
      <w:r w:rsidRPr="00FD6892">
        <w:rPr>
          <w:rFonts w:ascii="Calibri" w:hAnsi="Calibri" w:cs="Calibri"/>
          <w:sz w:val="22"/>
          <w:szCs w:val="22"/>
        </w:rPr>
        <w:fldChar w:fldCharType="begin"/>
      </w:r>
      <w:r w:rsidRPr="00FD6892">
        <w:rPr>
          <w:rFonts w:ascii="Calibri" w:hAnsi="Calibri" w:cs="Calibri"/>
          <w:sz w:val="22"/>
          <w:szCs w:val="22"/>
        </w:rPr>
        <w:instrText xml:space="preserve"> SEQ Equation \* ARABIC </w:instrText>
      </w:r>
      <w:r w:rsidRPr="00FD6892">
        <w:rPr>
          <w:rFonts w:ascii="Calibri" w:hAnsi="Calibri" w:cs="Calibri"/>
          <w:sz w:val="22"/>
          <w:szCs w:val="22"/>
        </w:rPr>
        <w:fldChar w:fldCharType="separate"/>
      </w:r>
      <w:r w:rsidR="00AF6312">
        <w:rPr>
          <w:rFonts w:ascii="Calibri" w:hAnsi="Calibri" w:cs="Calibri"/>
          <w:noProof/>
          <w:sz w:val="22"/>
          <w:szCs w:val="22"/>
        </w:rPr>
        <w:t>2</w:t>
      </w:r>
      <w:r w:rsidRPr="00FD6892">
        <w:rPr>
          <w:rFonts w:ascii="Calibri" w:hAnsi="Calibri" w:cs="Calibri"/>
          <w:sz w:val="22"/>
          <w:szCs w:val="22"/>
        </w:rPr>
        <w:fldChar w:fldCharType="end"/>
      </w:r>
      <w:bookmarkEnd w:id="22"/>
    </w:p>
    <w:p w:rsidR="0020686A" w:rsidRDefault="00E032B3" w:rsidP="0020686A">
      <w:pPr>
        <w:rPr>
          <w:rFonts w:ascii="Calibri" w:hAnsi="Calibri" w:cs="Calibri"/>
          <w:sz w:val="22"/>
          <w:szCs w:val="22"/>
        </w:rPr>
      </w:pPr>
      <w:r w:rsidRPr="00FD6892">
        <w:rPr>
          <w:rFonts w:ascii="Calibri" w:hAnsi="Calibri" w:cs="Calibri"/>
          <w:position w:val="-28"/>
          <w:sz w:val="22"/>
          <w:szCs w:val="22"/>
        </w:rPr>
        <w:object w:dxaOrig="7040" w:dyaOrig="680">
          <v:shape id="_x0000_i1028" type="#_x0000_t75" style="width:384.75pt;height:35.25pt" o:ole="">
            <v:imagedata r:id="rId18" o:title=""/>
          </v:shape>
          <o:OLEObject Type="Embed" ProgID="Equation.3" ShapeID="_x0000_i1028" DrawAspect="Content" ObjectID="_1468997059" r:id="rId19"/>
        </w:object>
      </w:r>
    </w:p>
    <w:p w:rsidR="00111E03" w:rsidRPr="00111E03" w:rsidRDefault="00111E03" w:rsidP="00111E03">
      <w:pPr>
        <w:rPr>
          <w:rFonts w:asciiTheme="minorHAnsi" w:hAnsiTheme="minorHAnsi" w:cstheme="minorHAnsi"/>
          <w:b/>
          <w:sz w:val="22"/>
          <w:szCs w:val="22"/>
        </w:rPr>
      </w:pPr>
      <w:r w:rsidRPr="00111E03">
        <w:rPr>
          <w:rFonts w:asciiTheme="minorHAnsi" w:hAnsiTheme="minorHAnsi" w:cstheme="minorHAnsi"/>
          <w:b/>
          <w:sz w:val="22"/>
          <w:szCs w:val="22"/>
        </w:rPr>
        <w:t>1</w:t>
      </w:r>
      <w:r w:rsidRPr="00111E03">
        <w:rPr>
          <w:rFonts w:asciiTheme="minorHAnsi" w:hAnsiTheme="minorHAnsi" w:cstheme="minorHAnsi"/>
          <w:b/>
          <w:sz w:val="22"/>
          <w:szCs w:val="22"/>
          <w:vertAlign w:val="superscript"/>
        </w:rPr>
        <w:t>st</w:t>
      </w:r>
      <w:r w:rsidRPr="00111E03">
        <w:rPr>
          <w:rFonts w:asciiTheme="minorHAnsi" w:hAnsiTheme="minorHAnsi" w:cstheme="minorHAnsi"/>
          <w:b/>
          <w:sz w:val="22"/>
          <w:szCs w:val="22"/>
        </w:rPr>
        <w:t xml:space="preserve"> baseline</w:t>
      </w:r>
    </w:p>
    <w:p w:rsidR="00111E03" w:rsidRDefault="00E032B3" w:rsidP="0020686A">
      <w:pPr>
        <w:rPr>
          <w:rFonts w:ascii="Calibri" w:hAnsi="Calibri" w:cs="Calibri"/>
          <w:position w:val="-28"/>
          <w:sz w:val="22"/>
          <w:szCs w:val="22"/>
        </w:rPr>
      </w:pPr>
      <w:r w:rsidRPr="00FD6892">
        <w:rPr>
          <w:rFonts w:ascii="Calibri" w:hAnsi="Calibri" w:cs="Calibri"/>
          <w:position w:val="-28"/>
          <w:sz w:val="22"/>
          <w:szCs w:val="22"/>
        </w:rPr>
        <w:object w:dxaOrig="6720" w:dyaOrig="680">
          <v:shape id="_x0000_i1029" type="#_x0000_t75" style="width:366pt;height:35.25pt" o:ole="">
            <v:imagedata r:id="rId20" o:title=""/>
          </v:shape>
          <o:OLEObject Type="Embed" ProgID="Equation.3" ShapeID="_x0000_i1029" DrawAspect="Content" ObjectID="_1468997060" r:id="rId21"/>
        </w:object>
      </w:r>
    </w:p>
    <w:p w:rsidR="00111E03" w:rsidRPr="00111E03" w:rsidRDefault="00111E03" w:rsidP="00111E03">
      <w:pPr>
        <w:rPr>
          <w:rFonts w:asciiTheme="minorHAnsi" w:hAnsiTheme="minorHAnsi" w:cstheme="minorHAnsi"/>
          <w:b/>
          <w:sz w:val="22"/>
          <w:szCs w:val="22"/>
        </w:rPr>
      </w:pPr>
      <w:r w:rsidRPr="00111E03">
        <w:rPr>
          <w:rFonts w:asciiTheme="minorHAnsi" w:hAnsiTheme="minorHAnsi" w:cstheme="minorHAnsi"/>
          <w:b/>
          <w:sz w:val="22"/>
          <w:szCs w:val="22"/>
        </w:rPr>
        <w:t>2</w:t>
      </w:r>
      <w:r w:rsidRPr="00111E03">
        <w:rPr>
          <w:rFonts w:asciiTheme="minorHAnsi" w:hAnsiTheme="minorHAnsi" w:cstheme="minorHAnsi"/>
          <w:b/>
          <w:sz w:val="22"/>
          <w:szCs w:val="22"/>
          <w:vertAlign w:val="superscript"/>
        </w:rPr>
        <w:t>nd</w:t>
      </w:r>
      <w:r w:rsidRPr="00111E03">
        <w:rPr>
          <w:rFonts w:asciiTheme="minorHAnsi" w:hAnsiTheme="minorHAnsi" w:cstheme="minorHAnsi"/>
          <w:b/>
          <w:sz w:val="22"/>
          <w:szCs w:val="22"/>
        </w:rPr>
        <w:t xml:space="preserve"> baseline</w:t>
      </w:r>
    </w:p>
    <w:p w:rsidR="00111E03" w:rsidRPr="00FD6892" w:rsidRDefault="00E032B3" w:rsidP="0020686A">
      <w:pPr>
        <w:rPr>
          <w:rFonts w:ascii="Calibri" w:hAnsi="Calibri" w:cs="Calibri"/>
          <w:position w:val="-28"/>
          <w:sz w:val="22"/>
          <w:szCs w:val="22"/>
        </w:rPr>
      </w:pPr>
      <w:r w:rsidRPr="00FD6892">
        <w:rPr>
          <w:rFonts w:ascii="Calibri" w:hAnsi="Calibri" w:cs="Calibri"/>
          <w:position w:val="-28"/>
          <w:sz w:val="22"/>
          <w:szCs w:val="22"/>
        </w:rPr>
        <w:object w:dxaOrig="4840" w:dyaOrig="680">
          <v:shape id="_x0000_i1030" type="#_x0000_t75" style="width:264pt;height:35.25pt" o:ole="">
            <v:imagedata r:id="rId22" o:title=""/>
          </v:shape>
          <o:OLEObject Type="Embed" ProgID="Equation.3" ShapeID="_x0000_i1030" DrawAspect="Content" ObjectID="_1468997061" r:id="rId23"/>
        </w:object>
      </w:r>
    </w:p>
    <w:p w:rsidR="00111E03" w:rsidRDefault="00111E03" w:rsidP="0020686A">
      <w:pPr>
        <w:rPr>
          <w:rFonts w:ascii="Calibri" w:hAnsi="Calibri" w:cs="Calibri"/>
          <w:sz w:val="22"/>
          <w:szCs w:val="22"/>
        </w:rPr>
      </w:pPr>
    </w:p>
    <w:p w:rsidR="0020686A" w:rsidRPr="00FD6892" w:rsidRDefault="0020686A" w:rsidP="0020686A">
      <w:pPr>
        <w:rPr>
          <w:rFonts w:ascii="Calibri" w:hAnsi="Calibri" w:cs="Calibri"/>
          <w:sz w:val="22"/>
          <w:szCs w:val="22"/>
        </w:rPr>
      </w:pPr>
      <w:r w:rsidRPr="00FD6892">
        <w:rPr>
          <w:rFonts w:ascii="Calibri" w:hAnsi="Calibri" w:cs="Calibri"/>
          <w:sz w:val="22"/>
          <w:szCs w:val="22"/>
        </w:rPr>
        <w:t>The complete list of energy and demand savings calculations can be found in the at</w:t>
      </w:r>
      <w:r w:rsidR="00501EBD">
        <w:rPr>
          <w:rFonts w:ascii="Calibri" w:hAnsi="Calibri" w:cs="Calibri"/>
          <w:sz w:val="22"/>
          <w:szCs w:val="22"/>
        </w:rPr>
        <w:t xml:space="preserve">tached calculation spreadsheet </w:t>
      </w:r>
      <w:r w:rsidR="00F514A5" w:rsidRPr="00FD6892">
        <w:rPr>
          <w:rFonts w:ascii="Calibri" w:hAnsi="Calibri" w:cs="Calibri"/>
          <w:sz w:val="22"/>
          <w:szCs w:val="22"/>
        </w:rPr>
        <w:t>[</w:t>
      </w:r>
      <w:r w:rsidR="00F514A5" w:rsidRPr="00F514A5">
        <w:rPr>
          <w:rStyle w:val="EndnoteReference"/>
          <w:rFonts w:ascii="Calibri" w:hAnsi="Calibri" w:cs="Calibri"/>
          <w:sz w:val="22"/>
          <w:szCs w:val="22"/>
          <w:vertAlign w:val="baseline"/>
        </w:rPr>
        <w:endnoteReference w:id="2"/>
      </w:r>
      <w:r w:rsidR="00F514A5" w:rsidRPr="00FD6892">
        <w:rPr>
          <w:rFonts w:ascii="Calibri" w:hAnsi="Calibri" w:cs="Calibri"/>
          <w:sz w:val="22"/>
          <w:szCs w:val="22"/>
        </w:rPr>
        <w:t>].</w:t>
      </w:r>
    </w:p>
    <w:p w:rsidR="00E16609" w:rsidRPr="00697868" w:rsidRDefault="00E16609" w:rsidP="00E16609">
      <w:pPr>
        <w:pStyle w:val="Heading1"/>
        <w:keepNext w:val="0"/>
        <w:rPr>
          <w:rFonts w:asciiTheme="minorHAnsi" w:hAnsiTheme="minorHAnsi" w:cstheme="minorHAnsi"/>
        </w:rPr>
      </w:pPr>
      <w:bookmarkStart w:id="23" w:name="_Toc214003093"/>
      <w:proofErr w:type="gramStart"/>
      <w:r w:rsidRPr="00697868">
        <w:rPr>
          <w:rFonts w:asciiTheme="minorHAnsi" w:hAnsiTheme="minorHAnsi" w:cstheme="minorHAnsi"/>
        </w:rPr>
        <w:t>Section 3.</w:t>
      </w:r>
      <w:proofErr w:type="gramEnd"/>
      <w:r w:rsidRPr="00697868">
        <w:rPr>
          <w:rFonts w:asciiTheme="minorHAnsi" w:hAnsiTheme="minorHAnsi" w:cstheme="minorHAnsi"/>
        </w:rPr>
        <w:t xml:space="preserve"> Load Shape</w:t>
      </w:r>
      <w:bookmarkEnd w:id="23"/>
      <w:r w:rsidRPr="00697868">
        <w:rPr>
          <w:rFonts w:asciiTheme="minorHAnsi" w:hAnsiTheme="minorHAnsi" w:cstheme="minorHAnsi"/>
        </w:rPr>
        <w:t>s</w:t>
      </w:r>
    </w:p>
    <w:p w:rsidR="00E16609"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r w:rsidR="003F0623" w:rsidRPr="00697868">
        <w:rPr>
          <w:rFonts w:asciiTheme="minorHAnsi" w:hAnsiTheme="minorHAnsi" w:cstheme="minorHAnsi"/>
          <w:sz w:val="22"/>
          <w:szCs w:val="22"/>
        </w:rPr>
        <w:t xml:space="preserve">DEER:Indoor_Non-CFL_Ltg </w:t>
      </w:r>
      <w:r w:rsidRPr="00697868">
        <w:rPr>
          <w:rFonts w:asciiTheme="minorHAnsi" w:hAnsiTheme="minorHAnsi" w:cstheme="minorHAnsi"/>
          <w:sz w:val="22"/>
          <w:szCs w:val="22"/>
        </w:rPr>
        <w:t xml:space="preserve">load shape.  See </w:t>
      </w:r>
      <w:r w:rsidR="0035762B">
        <w:rPr>
          <w:rFonts w:asciiTheme="minorHAnsi" w:hAnsiTheme="minorHAnsi" w:cstheme="minorHAnsi"/>
          <w:sz w:val="22"/>
          <w:szCs w:val="22"/>
        </w:rPr>
        <w:fldChar w:fldCharType="begin"/>
      </w:r>
      <w:r w:rsidR="0035762B">
        <w:rPr>
          <w:rFonts w:asciiTheme="minorHAnsi" w:hAnsiTheme="minorHAnsi" w:cstheme="minorHAnsi"/>
          <w:sz w:val="22"/>
          <w:szCs w:val="22"/>
        </w:rPr>
        <w:instrText xml:space="preserve"> REF _Ref394990719 \h </w:instrText>
      </w:r>
      <w:r w:rsidR="0035762B">
        <w:rPr>
          <w:rFonts w:asciiTheme="minorHAnsi" w:hAnsiTheme="minorHAnsi" w:cstheme="minorHAnsi"/>
          <w:sz w:val="22"/>
          <w:szCs w:val="22"/>
        </w:rPr>
      </w:r>
      <w:r w:rsidR="0035762B">
        <w:rPr>
          <w:rFonts w:asciiTheme="minorHAnsi" w:hAnsiTheme="minorHAnsi" w:cstheme="minorHAnsi"/>
          <w:sz w:val="22"/>
          <w:szCs w:val="22"/>
        </w:rPr>
        <w:fldChar w:fldCharType="separate"/>
      </w:r>
      <w:r w:rsidR="00AF6312" w:rsidRPr="0035762B">
        <w:rPr>
          <w:rFonts w:asciiTheme="minorHAnsi" w:hAnsiTheme="minorHAnsi" w:cstheme="minorHAnsi"/>
          <w:sz w:val="22"/>
          <w:szCs w:val="22"/>
        </w:rPr>
        <w:t xml:space="preserve">Table </w:t>
      </w:r>
      <w:r w:rsidR="00AF6312">
        <w:rPr>
          <w:rFonts w:asciiTheme="minorHAnsi" w:hAnsiTheme="minorHAnsi" w:cstheme="minorHAnsi"/>
          <w:noProof/>
          <w:sz w:val="22"/>
          <w:szCs w:val="22"/>
        </w:rPr>
        <w:t>10</w:t>
      </w:r>
      <w:r w:rsidR="0035762B">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for a list of all Building Types and Load Shapes.  See the KEMA report [31] for a more thorough discussion regarding the load shapes for this measure.</w:t>
      </w:r>
    </w:p>
    <w:p w:rsidR="0035762B" w:rsidRPr="00697868" w:rsidRDefault="0035762B" w:rsidP="00E16609">
      <w:pPr>
        <w:rPr>
          <w:rFonts w:asciiTheme="minorHAnsi" w:hAnsiTheme="minorHAnsi" w:cstheme="minorHAnsi"/>
          <w:sz w:val="22"/>
          <w:szCs w:val="22"/>
        </w:rPr>
      </w:pPr>
    </w:p>
    <w:p w:rsidR="00E16609" w:rsidRPr="00697868" w:rsidRDefault="0035762B" w:rsidP="0035762B">
      <w:pPr>
        <w:pStyle w:val="Caption"/>
        <w:jc w:val="center"/>
        <w:rPr>
          <w:rFonts w:asciiTheme="minorHAnsi" w:hAnsiTheme="minorHAnsi" w:cstheme="minorHAnsi"/>
          <w:b w:val="0"/>
          <w:sz w:val="22"/>
          <w:szCs w:val="22"/>
        </w:rPr>
      </w:pPr>
      <w:bookmarkStart w:id="24" w:name="_Ref394990719"/>
      <w:r w:rsidRPr="0035762B">
        <w:rPr>
          <w:rFonts w:asciiTheme="minorHAnsi" w:hAnsiTheme="minorHAnsi" w:cstheme="minorHAnsi"/>
          <w:sz w:val="22"/>
          <w:szCs w:val="22"/>
        </w:rPr>
        <w:t xml:space="preserve">Table </w:t>
      </w:r>
      <w:r w:rsidRPr="0035762B">
        <w:rPr>
          <w:rFonts w:asciiTheme="minorHAnsi" w:hAnsiTheme="minorHAnsi" w:cstheme="minorHAnsi"/>
          <w:sz w:val="22"/>
          <w:szCs w:val="22"/>
        </w:rPr>
        <w:fldChar w:fldCharType="begin"/>
      </w:r>
      <w:r w:rsidRPr="0035762B">
        <w:rPr>
          <w:rFonts w:asciiTheme="minorHAnsi" w:hAnsiTheme="minorHAnsi" w:cstheme="minorHAnsi"/>
          <w:sz w:val="22"/>
          <w:szCs w:val="22"/>
        </w:rPr>
        <w:instrText xml:space="preserve"> SEQ Table \* ARABIC </w:instrText>
      </w:r>
      <w:r w:rsidRPr="0035762B">
        <w:rPr>
          <w:rFonts w:asciiTheme="minorHAnsi" w:hAnsiTheme="minorHAnsi" w:cstheme="minorHAnsi"/>
          <w:sz w:val="22"/>
          <w:szCs w:val="22"/>
        </w:rPr>
        <w:fldChar w:fldCharType="separate"/>
      </w:r>
      <w:r w:rsidR="00AF6312">
        <w:rPr>
          <w:rFonts w:asciiTheme="minorHAnsi" w:hAnsiTheme="minorHAnsi" w:cstheme="minorHAnsi"/>
          <w:noProof/>
          <w:sz w:val="22"/>
          <w:szCs w:val="22"/>
        </w:rPr>
        <w:t>10</w:t>
      </w:r>
      <w:r w:rsidRPr="0035762B">
        <w:rPr>
          <w:rFonts w:asciiTheme="minorHAnsi" w:hAnsiTheme="minorHAnsi" w:cstheme="minorHAnsi"/>
          <w:sz w:val="22"/>
          <w:szCs w:val="22"/>
        </w:rPr>
        <w:fldChar w:fldCharType="end"/>
      </w:r>
      <w:bookmarkEnd w:id="24"/>
      <w:r w:rsidR="003F0623"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433" w:type="pct"/>
        <w:jc w:val="center"/>
        <w:tblInd w:w="108" w:type="dxa"/>
        <w:tblLook w:val="01E0" w:firstRow="1" w:lastRow="1" w:firstColumn="1" w:lastColumn="1" w:noHBand="0" w:noVBand="0"/>
      </w:tblPr>
      <w:tblGrid>
        <w:gridCol w:w="2988"/>
        <w:gridCol w:w="2936"/>
        <w:gridCol w:w="2566"/>
      </w:tblGrid>
      <w:tr w:rsidR="00E16609" w:rsidRPr="00697868" w:rsidTr="007048AC">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Building Type</w:t>
            </w:r>
          </w:p>
        </w:tc>
        <w:tc>
          <w:tcPr>
            <w:tcW w:w="1729"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E3 Alt. Building Type</w:t>
            </w:r>
          </w:p>
        </w:tc>
        <w:tc>
          <w:tcPr>
            <w:tcW w:w="1511" w:type="pct"/>
          </w:tcPr>
          <w:p w:rsidR="00E16609" w:rsidRPr="00697868" w:rsidRDefault="00E16609" w:rsidP="007048AC">
            <w:pPr>
              <w:jc w:val="center"/>
              <w:rPr>
                <w:rFonts w:asciiTheme="minorHAnsi" w:hAnsiTheme="minorHAnsi" w:cstheme="minorHAnsi"/>
                <w:sz w:val="20"/>
                <w:szCs w:val="20"/>
              </w:rPr>
            </w:pPr>
            <w:r w:rsidRPr="00697868">
              <w:rPr>
                <w:rFonts w:asciiTheme="minorHAnsi" w:hAnsiTheme="minorHAnsi" w:cstheme="minorHAnsi"/>
                <w:sz w:val="20"/>
                <w:szCs w:val="20"/>
              </w:rPr>
              <w:t>Load Shape</w:t>
            </w:r>
          </w:p>
        </w:tc>
      </w:tr>
      <w:tr w:rsidR="00984951" w:rsidRPr="00697868" w:rsidTr="00984951">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Agricultural</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Assembly</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Education - Primary School</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Education - Secondary School</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Education - Relocatable Classroom</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Education - Community College</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Education - University</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Grocery</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Food Store</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Health/Medical - Hospital</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Health/Medical - Nursing Home</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Health/Medical - Clinic</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Lodging – Hotel</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Lodging - Guest Rooms</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Lodging – Motel</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lastRenderedPageBreak/>
              <w:t>Manufacturing - Bio/Tech</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Manufacturing - Light Industrial</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Industrial</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Misc - Commercial</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Office – Large</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Office – Small</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Restaurant - Fast-Food</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Restaurant - Sit-Down</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Retail - Multistory Large</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Retail – Single-Story Large</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Retail – Small</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Storage - Conditioned</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Storage - Unconditioned</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Transportation - Communication – Utilities</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Warehouse – Refrigerated</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NON_RES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Residential – Multi-Family</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r w:rsidR="00984951" w:rsidRPr="00697868" w:rsidTr="00984951">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984951" w:rsidRPr="00FD6892" w:rsidRDefault="00984951" w:rsidP="00984951">
            <w:pPr>
              <w:rPr>
                <w:rFonts w:asciiTheme="minorHAnsi" w:hAnsiTheme="minorHAnsi" w:cstheme="minorHAnsi"/>
                <w:sz w:val="20"/>
                <w:szCs w:val="20"/>
              </w:rPr>
            </w:pPr>
            <w:r w:rsidRPr="00FD6892">
              <w:rPr>
                <w:rFonts w:asciiTheme="minorHAnsi" w:hAnsiTheme="minorHAnsi" w:cstheme="minorHAnsi"/>
                <w:sz w:val="20"/>
                <w:szCs w:val="20"/>
              </w:rPr>
              <w:t>Residential – Mobile Home</w:t>
            </w:r>
          </w:p>
        </w:tc>
        <w:tc>
          <w:tcPr>
            <w:tcW w:w="1729"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RES</w:t>
            </w:r>
          </w:p>
        </w:tc>
        <w:tc>
          <w:tcPr>
            <w:tcW w:w="1511" w:type="pct"/>
            <w:vAlign w:val="center"/>
          </w:tcPr>
          <w:p w:rsidR="00984951" w:rsidRPr="00FD6892" w:rsidRDefault="00984951" w:rsidP="00984951">
            <w:pPr>
              <w:jc w:val="center"/>
              <w:rPr>
                <w:rFonts w:asciiTheme="minorHAnsi" w:hAnsiTheme="minorHAnsi" w:cstheme="minorHAnsi"/>
                <w:sz w:val="20"/>
                <w:szCs w:val="20"/>
              </w:rPr>
            </w:pPr>
            <w:r w:rsidRPr="00FD6892">
              <w:rPr>
                <w:rFonts w:asciiTheme="minorHAnsi" w:hAnsiTheme="minorHAnsi" w:cstheme="minorHAnsi"/>
                <w:sz w:val="20"/>
                <w:szCs w:val="20"/>
              </w:rPr>
              <w:t>DEER:Indoor_CFL_Ltg</w:t>
            </w:r>
          </w:p>
        </w:tc>
      </w:tr>
    </w:tbl>
    <w:p w:rsidR="001A5F62" w:rsidRPr="00913FDC" w:rsidRDefault="00E16609" w:rsidP="00913FDC">
      <w:pPr>
        <w:pStyle w:val="Heading1"/>
        <w:keepNext w:val="0"/>
        <w:rPr>
          <w:rFonts w:asciiTheme="minorHAnsi" w:hAnsiTheme="minorHAnsi" w:cstheme="minorHAnsi"/>
        </w:rPr>
      </w:pPr>
      <w:bookmarkStart w:id="25" w:name="_Toc214003096"/>
      <w:r w:rsidRPr="00697868">
        <w:rPr>
          <w:rFonts w:asciiTheme="minorHAnsi" w:hAnsiTheme="minorHAnsi" w:cstheme="minorHAnsi"/>
        </w:rPr>
        <w:t>Section 4. Base Case &amp; Measure Costs</w:t>
      </w:r>
      <w:bookmarkEnd w:id="25"/>
    </w:p>
    <w:p w:rsidR="00984951" w:rsidRPr="00FD6892" w:rsidRDefault="00984951" w:rsidP="00984951">
      <w:pPr>
        <w:rPr>
          <w:rFonts w:ascii="Calibri" w:hAnsi="Calibri" w:cs="Calibri"/>
          <w:sz w:val="22"/>
          <w:szCs w:val="22"/>
        </w:rPr>
      </w:pPr>
      <w:r w:rsidRPr="00FD6892">
        <w:rPr>
          <w:rFonts w:ascii="Calibri" w:hAnsi="Calibri" w:cs="Calibri"/>
          <w:sz w:val="22"/>
          <w:szCs w:val="22"/>
        </w:rPr>
        <w:t>Direct Install measures use program tracking systems for measure costs.</w:t>
      </w:r>
    </w:p>
    <w:p w:rsidR="00984951" w:rsidRPr="00FD6892" w:rsidRDefault="00984951" w:rsidP="00984951">
      <w:pPr>
        <w:rPr>
          <w:rFonts w:ascii="Calibri" w:hAnsi="Calibri" w:cs="Calibri"/>
          <w:sz w:val="22"/>
          <w:szCs w:val="22"/>
        </w:rPr>
      </w:pPr>
    </w:p>
    <w:p w:rsidR="00984951" w:rsidRPr="00FD6892" w:rsidRDefault="00984951" w:rsidP="00984951">
      <w:pPr>
        <w:rPr>
          <w:rFonts w:ascii="Calibri" w:hAnsi="Calibri" w:cs="Calibri"/>
          <w:sz w:val="22"/>
          <w:szCs w:val="22"/>
        </w:rPr>
      </w:pPr>
      <w:r w:rsidRPr="00FD6892">
        <w:rPr>
          <w:rFonts w:ascii="Calibri" w:hAnsi="Calibri" w:cs="Calibri"/>
          <w:sz w:val="22"/>
          <w:szCs w:val="22"/>
        </w:rPr>
        <w:t>DEER 2011 base case and measure cost values are unchanged from DEER 2008. All costs with climate zone multipliers applied can be found in Attachment 1.</w:t>
      </w:r>
    </w:p>
    <w:p w:rsidR="00E16609" w:rsidRPr="00697868" w:rsidRDefault="00E16609" w:rsidP="00824F1C">
      <w:pPr>
        <w:pStyle w:val="Heading2"/>
        <w:rPr>
          <w:rFonts w:asciiTheme="minorHAnsi" w:hAnsiTheme="minorHAnsi" w:cstheme="minorHAnsi"/>
        </w:rPr>
      </w:pPr>
      <w:bookmarkStart w:id="26" w:name="_MON_1399297811"/>
      <w:bookmarkStart w:id="27" w:name="_Toc214003097"/>
      <w:bookmarkEnd w:id="26"/>
      <w:r w:rsidRPr="00697868">
        <w:rPr>
          <w:rFonts w:asciiTheme="minorHAnsi" w:hAnsiTheme="minorHAnsi" w:cstheme="minorHAnsi"/>
        </w:rPr>
        <w:t>4.1 Base Case Cost</w:t>
      </w:r>
      <w:bookmarkEnd w:id="27"/>
    </w:p>
    <w:p w:rsidR="00984951" w:rsidRPr="00FD6892" w:rsidRDefault="00984951" w:rsidP="00984951">
      <w:pPr>
        <w:rPr>
          <w:rFonts w:ascii="Calibri" w:hAnsi="Calibri" w:cs="Calibri"/>
          <w:sz w:val="22"/>
          <w:szCs w:val="22"/>
        </w:rPr>
      </w:pPr>
      <w:r w:rsidRPr="00FD6892">
        <w:rPr>
          <w:rFonts w:ascii="Calibri" w:hAnsi="Calibri" w:cs="Calibri"/>
          <w:sz w:val="22"/>
          <w:szCs w:val="22"/>
        </w:rPr>
        <w:t xml:space="preserve">For the non-residential measures, the base cost is referenced from DEER 2008 [215].  </w:t>
      </w:r>
    </w:p>
    <w:p w:rsidR="00984951" w:rsidRPr="00FD6892" w:rsidRDefault="00984951" w:rsidP="00984951">
      <w:pPr>
        <w:rPr>
          <w:rFonts w:ascii="Calibri" w:hAnsi="Calibri" w:cs="Calibri"/>
          <w:sz w:val="22"/>
          <w:szCs w:val="22"/>
        </w:rPr>
      </w:pPr>
    </w:p>
    <w:p w:rsidR="00984951" w:rsidRDefault="00984951" w:rsidP="00984951">
      <w:pPr>
        <w:rPr>
          <w:rFonts w:ascii="Calibri" w:hAnsi="Calibri" w:cs="Calibri"/>
          <w:sz w:val="22"/>
          <w:szCs w:val="22"/>
        </w:rPr>
      </w:pPr>
      <w:r w:rsidRPr="00FD6892">
        <w:rPr>
          <w:rFonts w:ascii="Calibri" w:hAnsi="Calibri" w:cs="Calibri"/>
          <w:sz w:val="22"/>
          <w:szCs w:val="22"/>
        </w:rPr>
        <w:t>For the measures with no ranges (incandescent base case), DEER 2008 [215] incremental cost data was extrapolated in order to back calculate the base case equipment cost</w:t>
      </w:r>
      <w:r w:rsidR="003C1FCB">
        <w:rPr>
          <w:rFonts w:ascii="Calibri" w:hAnsi="Calibri" w:cs="Calibri"/>
          <w:sz w:val="22"/>
          <w:szCs w:val="22"/>
        </w:rPr>
        <w:t xml:space="preserve"> [</w:t>
      </w:r>
      <w:r w:rsidR="003C1FCB">
        <w:rPr>
          <w:rStyle w:val="EndnoteReference"/>
          <w:rFonts w:ascii="Calibri" w:hAnsi="Calibri" w:cs="Calibri"/>
          <w:sz w:val="22"/>
          <w:szCs w:val="22"/>
        </w:rPr>
        <w:endnoteReference w:id="3"/>
      </w:r>
      <w:r w:rsidRPr="00FD6892">
        <w:rPr>
          <w:rFonts w:ascii="Calibri" w:hAnsi="Calibri" w:cs="Calibri"/>
          <w:sz w:val="22"/>
          <w:szCs w:val="22"/>
        </w:rPr>
        <w:t xml:space="preserve">.  DEER08 cost data only </w:t>
      </w:r>
      <w:r w:rsidR="00CC6844">
        <w:rPr>
          <w:rFonts w:ascii="Calibri" w:hAnsi="Calibri" w:cs="Calibri"/>
          <w:sz w:val="22"/>
          <w:szCs w:val="22"/>
        </w:rPr>
        <w:t>provides</w:t>
      </w:r>
      <w:r w:rsidRPr="00FD6892">
        <w:rPr>
          <w:rFonts w:ascii="Calibri" w:hAnsi="Calibri" w:cs="Calibri"/>
          <w:sz w:val="22"/>
          <w:szCs w:val="22"/>
        </w:rPr>
        <w:t xml:space="preserve"> fixture cost for outdoor fixtures </w:t>
      </w:r>
      <w:r w:rsidR="00CC6844">
        <w:rPr>
          <w:rFonts w:ascii="Calibri" w:hAnsi="Calibri" w:cs="Calibri"/>
          <w:sz w:val="22"/>
          <w:szCs w:val="22"/>
        </w:rPr>
        <w:t>which</w:t>
      </w:r>
      <w:r w:rsidRPr="00FD6892">
        <w:rPr>
          <w:rFonts w:ascii="Calibri" w:hAnsi="Calibri" w:cs="Calibri"/>
          <w:sz w:val="22"/>
          <w:szCs w:val="22"/>
        </w:rPr>
        <w:t xml:space="preserve"> were used as a proxy to the indoor fixtures in this work paper.</w:t>
      </w:r>
    </w:p>
    <w:p w:rsidR="00A76FC8" w:rsidRDefault="00A76FC8" w:rsidP="00A76FC8">
      <w:pPr>
        <w:pStyle w:val="Caption"/>
        <w:jc w:val="center"/>
        <w:rPr>
          <w:rFonts w:ascii="Calibri" w:hAnsi="Calibri" w:cs="Calibri"/>
          <w:sz w:val="22"/>
          <w:szCs w:val="22"/>
        </w:rPr>
      </w:pPr>
    </w:p>
    <w:p w:rsidR="00A76FC8" w:rsidRPr="00984951" w:rsidRDefault="00A76FC8" w:rsidP="00A76FC8">
      <w:pPr>
        <w:pStyle w:val="Caption"/>
        <w:jc w:val="center"/>
        <w:rPr>
          <w:rFonts w:ascii="Calibri" w:hAnsi="Calibri" w:cs="Calibri"/>
          <w:sz w:val="22"/>
          <w:szCs w:val="22"/>
        </w:rPr>
      </w:pPr>
      <w:r w:rsidRPr="0035762B">
        <w:rPr>
          <w:rFonts w:ascii="Calibri" w:hAnsi="Calibri" w:cs="Calibri"/>
          <w:sz w:val="22"/>
          <w:szCs w:val="22"/>
        </w:rPr>
        <w:t xml:space="preserve">Table </w:t>
      </w:r>
      <w:r w:rsidRPr="0035762B">
        <w:rPr>
          <w:rFonts w:ascii="Calibri" w:hAnsi="Calibri" w:cs="Calibri"/>
          <w:sz w:val="22"/>
          <w:szCs w:val="22"/>
        </w:rPr>
        <w:fldChar w:fldCharType="begin"/>
      </w:r>
      <w:r w:rsidRPr="0035762B">
        <w:rPr>
          <w:rFonts w:ascii="Calibri" w:hAnsi="Calibri" w:cs="Calibri"/>
          <w:sz w:val="22"/>
          <w:szCs w:val="22"/>
        </w:rPr>
        <w:instrText xml:space="preserve"> SEQ Table \* ARABIC </w:instrText>
      </w:r>
      <w:r w:rsidRPr="0035762B">
        <w:rPr>
          <w:rFonts w:ascii="Calibri" w:hAnsi="Calibri" w:cs="Calibri"/>
          <w:sz w:val="22"/>
          <w:szCs w:val="22"/>
        </w:rPr>
        <w:fldChar w:fldCharType="separate"/>
      </w:r>
      <w:r w:rsidR="00AF6312">
        <w:rPr>
          <w:rFonts w:ascii="Calibri" w:hAnsi="Calibri" w:cs="Calibri"/>
          <w:noProof/>
          <w:sz w:val="22"/>
          <w:szCs w:val="22"/>
        </w:rPr>
        <w:t>11</w:t>
      </w:r>
      <w:r w:rsidRPr="0035762B">
        <w:rPr>
          <w:rFonts w:ascii="Calibri" w:hAnsi="Calibri" w:cs="Calibri"/>
          <w:sz w:val="22"/>
          <w:szCs w:val="22"/>
        </w:rPr>
        <w:fldChar w:fldCharType="end"/>
      </w:r>
      <w:r>
        <w:rPr>
          <w:rFonts w:ascii="Calibri" w:hAnsi="Calibri" w:cs="Calibri"/>
          <w:sz w:val="22"/>
          <w:szCs w:val="22"/>
        </w:rPr>
        <w:t xml:space="preserve"> Base Case Cost</w:t>
      </w:r>
    </w:p>
    <w:tbl>
      <w:tblPr>
        <w:tblStyle w:val="TableContemporary"/>
        <w:tblW w:w="4850" w:type="pct"/>
        <w:tblLayout w:type="fixed"/>
        <w:tblLook w:val="01E0" w:firstRow="1" w:lastRow="1" w:firstColumn="1" w:lastColumn="1" w:noHBand="0" w:noVBand="0"/>
      </w:tblPr>
      <w:tblGrid>
        <w:gridCol w:w="1109"/>
        <w:gridCol w:w="4851"/>
        <w:gridCol w:w="1169"/>
        <w:gridCol w:w="990"/>
        <w:gridCol w:w="1170"/>
      </w:tblGrid>
      <w:tr w:rsidR="00A76FC8" w:rsidRPr="00297415" w:rsidTr="00AF6312">
        <w:trPr>
          <w:cnfStyle w:val="100000000000" w:firstRow="1" w:lastRow="0" w:firstColumn="0" w:lastColumn="0" w:oddVBand="0" w:evenVBand="0" w:oddHBand="0" w:evenHBand="0" w:firstRowFirstColumn="0" w:firstRowLastColumn="0" w:lastRowFirstColumn="0" w:lastRowLastColumn="0"/>
          <w:trHeight w:val="765"/>
        </w:trPr>
        <w:tc>
          <w:tcPr>
            <w:tcW w:w="597" w:type="pct"/>
          </w:tcPr>
          <w:p w:rsidR="00A76FC8" w:rsidRPr="00297415" w:rsidRDefault="00A76FC8" w:rsidP="007E4337">
            <w:pPr>
              <w:jc w:val="center"/>
              <w:rPr>
                <w:rFonts w:ascii="Calibri" w:hAnsi="Calibri" w:cs="Calibri"/>
                <w:bCs w:val="0"/>
                <w:sz w:val="20"/>
                <w:szCs w:val="20"/>
              </w:rPr>
            </w:pPr>
            <w:r w:rsidRPr="00297415">
              <w:rPr>
                <w:rFonts w:ascii="Calibri" w:hAnsi="Calibri" w:cs="Calibri"/>
                <w:bCs w:val="0"/>
                <w:sz w:val="20"/>
                <w:szCs w:val="20"/>
              </w:rPr>
              <w:t>Solution Code</w:t>
            </w:r>
          </w:p>
        </w:tc>
        <w:tc>
          <w:tcPr>
            <w:tcW w:w="2611" w:type="pct"/>
          </w:tcPr>
          <w:p w:rsidR="00A76FC8" w:rsidRPr="00297415" w:rsidRDefault="00A76FC8" w:rsidP="007E4337">
            <w:pPr>
              <w:jc w:val="center"/>
              <w:rPr>
                <w:rFonts w:ascii="Calibri" w:hAnsi="Calibri" w:cs="Calibri"/>
                <w:bCs w:val="0"/>
                <w:sz w:val="20"/>
                <w:szCs w:val="20"/>
              </w:rPr>
            </w:pPr>
            <w:r w:rsidRPr="00297415">
              <w:rPr>
                <w:rFonts w:ascii="Calibri" w:hAnsi="Calibri" w:cs="Calibri"/>
                <w:bCs w:val="0"/>
                <w:sz w:val="20"/>
                <w:szCs w:val="20"/>
              </w:rPr>
              <w:t>Measure Name</w:t>
            </w:r>
          </w:p>
        </w:tc>
        <w:tc>
          <w:tcPr>
            <w:tcW w:w="629" w:type="pct"/>
            <w:noWrap/>
          </w:tcPr>
          <w:p w:rsidR="00A76FC8" w:rsidRPr="00297415" w:rsidRDefault="00A76FC8" w:rsidP="007E4337">
            <w:pPr>
              <w:jc w:val="center"/>
              <w:rPr>
                <w:rFonts w:ascii="Calibri" w:hAnsi="Calibri" w:cs="Calibri"/>
                <w:bCs w:val="0"/>
                <w:sz w:val="20"/>
                <w:szCs w:val="20"/>
              </w:rPr>
            </w:pPr>
            <w:r w:rsidRPr="00297415">
              <w:rPr>
                <w:rFonts w:ascii="Calibri" w:hAnsi="Calibri" w:cs="Calibri"/>
                <w:bCs w:val="0"/>
                <w:sz w:val="20"/>
                <w:szCs w:val="20"/>
              </w:rPr>
              <w:t>Base</w:t>
            </w:r>
          </w:p>
          <w:p w:rsidR="00A76FC8" w:rsidRPr="00297415" w:rsidRDefault="00A76FC8" w:rsidP="007E4337">
            <w:pPr>
              <w:jc w:val="center"/>
              <w:rPr>
                <w:rFonts w:ascii="Calibri" w:hAnsi="Calibri" w:cs="Calibri"/>
                <w:bCs w:val="0"/>
                <w:sz w:val="20"/>
                <w:szCs w:val="20"/>
              </w:rPr>
            </w:pPr>
            <w:r w:rsidRPr="00297415">
              <w:rPr>
                <w:rFonts w:ascii="Calibri" w:hAnsi="Calibri" w:cs="Calibri"/>
                <w:bCs w:val="0"/>
                <w:sz w:val="20"/>
                <w:szCs w:val="20"/>
              </w:rPr>
              <w:t>Equipment</w:t>
            </w:r>
          </w:p>
          <w:p w:rsidR="00A76FC8" w:rsidRPr="00297415" w:rsidRDefault="00A76FC8" w:rsidP="007E4337">
            <w:pPr>
              <w:jc w:val="center"/>
              <w:rPr>
                <w:rFonts w:ascii="Calibri" w:hAnsi="Calibri" w:cs="Calibri"/>
                <w:sz w:val="20"/>
                <w:szCs w:val="20"/>
              </w:rPr>
            </w:pPr>
            <w:r w:rsidRPr="00297415">
              <w:rPr>
                <w:rFonts w:ascii="Calibri" w:hAnsi="Calibri" w:cs="Calibri"/>
                <w:bCs w:val="0"/>
                <w:sz w:val="20"/>
                <w:szCs w:val="20"/>
              </w:rPr>
              <w:t>Cost</w:t>
            </w:r>
          </w:p>
        </w:tc>
        <w:tc>
          <w:tcPr>
            <w:tcW w:w="533" w:type="pct"/>
          </w:tcPr>
          <w:p w:rsidR="00A76FC8" w:rsidRPr="00297415" w:rsidRDefault="00A76FC8" w:rsidP="007E4337">
            <w:pPr>
              <w:jc w:val="center"/>
              <w:rPr>
                <w:rFonts w:ascii="Calibri" w:hAnsi="Calibri" w:cs="Calibri"/>
                <w:bCs w:val="0"/>
                <w:sz w:val="20"/>
                <w:szCs w:val="20"/>
              </w:rPr>
            </w:pPr>
            <w:r>
              <w:rPr>
                <w:rFonts w:ascii="Calibri" w:hAnsi="Calibri" w:cs="Calibri"/>
                <w:bCs w:val="0"/>
                <w:sz w:val="20"/>
                <w:szCs w:val="20"/>
              </w:rPr>
              <w:t>Base Labor Cost</w:t>
            </w:r>
          </w:p>
        </w:tc>
        <w:tc>
          <w:tcPr>
            <w:tcW w:w="630" w:type="pct"/>
          </w:tcPr>
          <w:p w:rsidR="00A76FC8" w:rsidRPr="00297415" w:rsidRDefault="00A76FC8" w:rsidP="007E4337">
            <w:pPr>
              <w:jc w:val="center"/>
              <w:rPr>
                <w:rFonts w:ascii="Calibri" w:hAnsi="Calibri" w:cs="Calibri"/>
                <w:bCs w:val="0"/>
                <w:sz w:val="20"/>
                <w:szCs w:val="20"/>
              </w:rPr>
            </w:pPr>
            <w:r>
              <w:rPr>
                <w:rFonts w:ascii="Calibri" w:hAnsi="Calibri" w:cs="Calibri"/>
                <w:bCs w:val="0"/>
                <w:sz w:val="20"/>
                <w:szCs w:val="20"/>
              </w:rPr>
              <w:t>Base Case Cost</w:t>
            </w:r>
          </w:p>
        </w:tc>
      </w:tr>
      <w:tr w:rsidR="00AF6312" w:rsidTr="00AF6312">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AF6312" w:rsidRPr="000A11F9" w:rsidRDefault="00AF6312" w:rsidP="007E4337">
            <w:pPr>
              <w:jc w:val="center"/>
              <w:rPr>
                <w:rFonts w:ascii="Calibri" w:hAnsi="Calibri" w:cs="Calibri"/>
                <w:sz w:val="20"/>
                <w:szCs w:val="20"/>
              </w:rPr>
            </w:pPr>
            <w:r>
              <w:rPr>
                <w:rFonts w:ascii="Calibri" w:hAnsi="Calibri" w:cs="Calibri"/>
                <w:color w:val="000000"/>
                <w:sz w:val="20"/>
                <w:szCs w:val="20"/>
              </w:rPr>
              <w:t>LT-17083</w:t>
            </w:r>
          </w:p>
        </w:tc>
        <w:tc>
          <w:tcPr>
            <w:tcW w:w="2611" w:type="pct"/>
          </w:tcPr>
          <w:p w:rsidR="00AF6312" w:rsidRPr="000A11F9" w:rsidRDefault="00AF6312" w:rsidP="007E4337">
            <w:pPr>
              <w:rPr>
                <w:rFonts w:ascii="Calibri" w:hAnsi="Calibri" w:cs="Calibri"/>
                <w:sz w:val="20"/>
                <w:szCs w:val="20"/>
              </w:rPr>
            </w:pPr>
            <w:r>
              <w:rPr>
                <w:rFonts w:ascii="Calibri" w:hAnsi="Calibri" w:cs="Calibri"/>
                <w:color w:val="000000"/>
                <w:sz w:val="20"/>
                <w:szCs w:val="20"/>
              </w:rPr>
              <w:t>Up to 70 Watt Interior Fixture CFL replacing less than 100 Watt lamp base case</w:t>
            </w:r>
          </w:p>
        </w:tc>
        <w:tc>
          <w:tcPr>
            <w:tcW w:w="629" w:type="pct"/>
            <w:noWrap/>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t>$127.35</w:t>
            </w:r>
            <w:r>
              <w:rPr>
                <w:rFonts w:ascii="Calibri" w:hAnsi="Calibri" w:cs="Calibri"/>
                <w:color w:val="000000"/>
                <w:sz w:val="20"/>
                <w:szCs w:val="20"/>
              </w:rPr>
              <w:t>*</w:t>
            </w:r>
          </w:p>
        </w:tc>
        <w:tc>
          <w:tcPr>
            <w:tcW w:w="533" w:type="pct"/>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t>$18.04</w:t>
            </w:r>
          </w:p>
        </w:tc>
        <w:tc>
          <w:tcPr>
            <w:tcW w:w="630" w:type="pct"/>
            <w:vAlign w:val="center"/>
          </w:tcPr>
          <w:p w:rsidR="00AF6312" w:rsidRPr="00AF6312" w:rsidRDefault="00AF6312" w:rsidP="00AF6312">
            <w:pPr>
              <w:jc w:val="center"/>
              <w:rPr>
                <w:rFonts w:ascii="Calibri" w:hAnsi="Calibri"/>
                <w:color w:val="000000"/>
                <w:sz w:val="20"/>
                <w:szCs w:val="20"/>
              </w:rPr>
            </w:pPr>
            <w:r w:rsidRPr="00AF6312">
              <w:rPr>
                <w:rFonts w:ascii="Calibri" w:hAnsi="Calibri"/>
                <w:color w:val="000000"/>
                <w:sz w:val="20"/>
                <w:szCs w:val="20"/>
              </w:rPr>
              <w:t>$145.39</w:t>
            </w:r>
          </w:p>
        </w:tc>
      </w:tr>
      <w:tr w:rsidR="00AF6312" w:rsidTr="00AF6312">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AF6312" w:rsidRPr="000A11F9" w:rsidRDefault="00AF6312" w:rsidP="007E4337">
            <w:pPr>
              <w:jc w:val="center"/>
              <w:rPr>
                <w:rFonts w:ascii="Calibri" w:hAnsi="Calibri" w:cs="Calibri"/>
                <w:sz w:val="20"/>
                <w:szCs w:val="20"/>
              </w:rPr>
            </w:pPr>
            <w:r>
              <w:rPr>
                <w:rFonts w:ascii="Calibri" w:hAnsi="Calibri" w:cs="Calibri"/>
                <w:color w:val="000000"/>
                <w:sz w:val="20"/>
                <w:szCs w:val="20"/>
              </w:rPr>
              <w:t>LT-83701</w:t>
            </w:r>
          </w:p>
        </w:tc>
        <w:tc>
          <w:tcPr>
            <w:tcW w:w="2611" w:type="pct"/>
          </w:tcPr>
          <w:p w:rsidR="00AF6312" w:rsidRPr="000A11F9" w:rsidRDefault="00AF6312" w:rsidP="007E4337">
            <w:pPr>
              <w:rPr>
                <w:rFonts w:ascii="Calibri" w:hAnsi="Calibri" w:cs="Calibri"/>
                <w:sz w:val="20"/>
                <w:szCs w:val="20"/>
              </w:rPr>
            </w:pPr>
            <w:r>
              <w:rPr>
                <w:rFonts w:ascii="Calibri" w:hAnsi="Calibri" w:cs="Calibri"/>
                <w:color w:val="000000"/>
                <w:sz w:val="20"/>
                <w:szCs w:val="20"/>
              </w:rPr>
              <w:t>Up to 128 Watt Interior Fixture CFL replacing 101 - 175 Watt lamp base case</w:t>
            </w:r>
          </w:p>
        </w:tc>
        <w:tc>
          <w:tcPr>
            <w:tcW w:w="629" w:type="pct"/>
            <w:noWrap/>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t>$137.37</w:t>
            </w:r>
          </w:p>
        </w:tc>
        <w:tc>
          <w:tcPr>
            <w:tcW w:w="533" w:type="pct"/>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t>$72.17</w:t>
            </w:r>
          </w:p>
        </w:tc>
        <w:tc>
          <w:tcPr>
            <w:tcW w:w="630" w:type="pct"/>
            <w:vAlign w:val="center"/>
          </w:tcPr>
          <w:p w:rsidR="00AF6312" w:rsidRPr="00AF6312" w:rsidRDefault="00AF6312" w:rsidP="00AF6312">
            <w:pPr>
              <w:jc w:val="center"/>
              <w:rPr>
                <w:rFonts w:ascii="Calibri" w:hAnsi="Calibri"/>
                <w:color w:val="000000"/>
                <w:sz w:val="20"/>
                <w:szCs w:val="20"/>
              </w:rPr>
            </w:pPr>
            <w:r w:rsidRPr="00AF6312">
              <w:rPr>
                <w:rFonts w:ascii="Calibri" w:hAnsi="Calibri"/>
                <w:color w:val="000000"/>
                <w:sz w:val="20"/>
                <w:szCs w:val="20"/>
              </w:rPr>
              <w:t>$209.54</w:t>
            </w:r>
          </w:p>
        </w:tc>
      </w:tr>
      <w:tr w:rsidR="00AF6312" w:rsidTr="00AF6312">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AF6312" w:rsidRPr="000A11F9" w:rsidRDefault="00AF6312" w:rsidP="007E4337">
            <w:pPr>
              <w:jc w:val="center"/>
              <w:rPr>
                <w:rFonts w:ascii="Calibri" w:hAnsi="Calibri" w:cs="Calibri"/>
                <w:sz w:val="20"/>
                <w:szCs w:val="20"/>
              </w:rPr>
            </w:pPr>
            <w:r>
              <w:rPr>
                <w:rFonts w:ascii="Calibri" w:hAnsi="Calibri" w:cs="Calibri"/>
                <w:color w:val="000000"/>
                <w:sz w:val="20"/>
                <w:szCs w:val="20"/>
              </w:rPr>
              <w:t>LT-33489</w:t>
            </w:r>
          </w:p>
        </w:tc>
        <w:tc>
          <w:tcPr>
            <w:tcW w:w="2611" w:type="pct"/>
          </w:tcPr>
          <w:p w:rsidR="00AF6312" w:rsidRPr="000A11F9" w:rsidRDefault="00AF6312" w:rsidP="007E4337">
            <w:pPr>
              <w:rPr>
                <w:rFonts w:ascii="Calibri" w:hAnsi="Calibri" w:cs="Calibri"/>
                <w:sz w:val="20"/>
                <w:szCs w:val="20"/>
              </w:rPr>
            </w:pPr>
            <w:r>
              <w:rPr>
                <w:rFonts w:ascii="Calibri" w:hAnsi="Calibri" w:cs="Calibri"/>
                <w:color w:val="000000"/>
                <w:sz w:val="20"/>
                <w:szCs w:val="20"/>
              </w:rPr>
              <w:t>Up to 192 Watt Interior Fixture CFL replacing 176 - 399 Watt lamp base case</w:t>
            </w:r>
          </w:p>
        </w:tc>
        <w:tc>
          <w:tcPr>
            <w:tcW w:w="629" w:type="pct"/>
            <w:noWrap/>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t>$152.84</w:t>
            </w:r>
            <w:r>
              <w:rPr>
                <w:rFonts w:ascii="Calibri" w:hAnsi="Calibri" w:cs="Calibri"/>
                <w:color w:val="000000"/>
                <w:sz w:val="20"/>
                <w:szCs w:val="20"/>
              </w:rPr>
              <w:t>*</w:t>
            </w:r>
          </w:p>
        </w:tc>
        <w:tc>
          <w:tcPr>
            <w:tcW w:w="533" w:type="pct"/>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t>$72.17</w:t>
            </w:r>
          </w:p>
        </w:tc>
        <w:tc>
          <w:tcPr>
            <w:tcW w:w="630" w:type="pct"/>
            <w:vAlign w:val="center"/>
          </w:tcPr>
          <w:p w:rsidR="00AF6312" w:rsidRPr="00AF6312" w:rsidRDefault="00AF6312" w:rsidP="00AF6312">
            <w:pPr>
              <w:jc w:val="center"/>
              <w:rPr>
                <w:rFonts w:ascii="Calibri" w:hAnsi="Calibri"/>
                <w:color w:val="000000"/>
                <w:sz w:val="20"/>
                <w:szCs w:val="20"/>
              </w:rPr>
            </w:pPr>
            <w:r w:rsidRPr="00AF6312">
              <w:rPr>
                <w:rFonts w:ascii="Calibri" w:hAnsi="Calibri"/>
                <w:color w:val="000000"/>
                <w:sz w:val="20"/>
                <w:szCs w:val="20"/>
              </w:rPr>
              <w:t>$225.01</w:t>
            </w:r>
          </w:p>
        </w:tc>
      </w:tr>
      <w:tr w:rsidR="00AF6312" w:rsidTr="00AF6312">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AF6312" w:rsidRPr="000A11F9" w:rsidRDefault="00AF6312" w:rsidP="007E4337">
            <w:pPr>
              <w:jc w:val="center"/>
              <w:rPr>
                <w:rFonts w:ascii="Calibri" w:hAnsi="Calibri" w:cs="Calibri"/>
                <w:sz w:val="20"/>
                <w:szCs w:val="20"/>
              </w:rPr>
            </w:pPr>
            <w:r>
              <w:rPr>
                <w:rFonts w:ascii="Calibri" w:hAnsi="Calibri" w:cs="Calibri"/>
                <w:color w:val="000000"/>
                <w:sz w:val="20"/>
                <w:szCs w:val="20"/>
              </w:rPr>
              <w:t>LT-26133</w:t>
            </w:r>
          </w:p>
        </w:tc>
        <w:tc>
          <w:tcPr>
            <w:tcW w:w="2611" w:type="pct"/>
          </w:tcPr>
          <w:p w:rsidR="00AF6312" w:rsidRPr="000A11F9" w:rsidRDefault="00AF6312" w:rsidP="007E4337">
            <w:pPr>
              <w:rPr>
                <w:rFonts w:ascii="Calibri" w:hAnsi="Calibri" w:cs="Calibri"/>
                <w:sz w:val="20"/>
                <w:szCs w:val="20"/>
              </w:rPr>
            </w:pPr>
            <w:r>
              <w:rPr>
                <w:rFonts w:ascii="Calibri" w:hAnsi="Calibri" w:cs="Calibri"/>
                <w:color w:val="000000"/>
                <w:sz w:val="20"/>
                <w:szCs w:val="20"/>
              </w:rPr>
              <w:t>Up to 244 Watt (Tier 1) Interior Fixture CFL replacing greater than 400 Watt lamp base case</w:t>
            </w:r>
          </w:p>
        </w:tc>
        <w:tc>
          <w:tcPr>
            <w:tcW w:w="629" w:type="pct"/>
            <w:noWrap/>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t>$164.40</w:t>
            </w:r>
            <w:r>
              <w:rPr>
                <w:rFonts w:ascii="Calibri" w:hAnsi="Calibri" w:cs="Calibri"/>
                <w:color w:val="000000"/>
                <w:sz w:val="20"/>
                <w:szCs w:val="20"/>
              </w:rPr>
              <w:t>*</w:t>
            </w:r>
          </w:p>
        </w:tc>
        <w:tc>
          <w:tcPr>
            <w:tcW w:w="533" w:type="pct"/>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t>$72.17</w:t>
            </w:r>
          </w:p>
        </w:tc>
        <w:tc>
          <w:tcPr>
            <w:tcW w:w="630" w:type="pct"/>
            <w:vAlign w:val="center"/>
          </w:tcPr>
          <w:p w:rsidR="00AF6312" w:rsidRPr="00AF6312" w:rsidRDefault="00AF6312" w:rsidP="00AF6312">
            <w:pPr>
              <w:jc w:val="center"/>
              <w:rPr>
                <w:rFonts w:ascii="Calibri" w:hAnsi="Calibri"/>
                <w:color w:val="000000"/>
                <w:sz w:val="20"/>
                <w:szCs w:val="20"/>
              </w:rPr>
            </w:pPr>
            <w:r w:rsidRPr="00AF6312">
              <w:rPr>
                <w:rFonts w:ascii="Calibri" w:hAnsi="Calibri"/>
                <w:color w:val="000000"/>
                <w:sz w:val="20"/>
                <w:szCs w:val="20"/>
              </w:rPr>
              <w:t>$236.57</w:t>
            </w:r>
          </w:p>
        </w:tc>
      </w:tr>
      <w:tr w:rsidR="00AF6312" w:rsidTr="00AF6312">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AF6312" w:rsidRPr="000A11F9" w:rsidRDefault="00AF6312" w:rsidP="007E4337">
            <w:pPr>
              <w:jc w:val="center"/>
              <w:rPr>
                <w:rFonts w:ascii="Calibri" w:hAnsi="Calibri" w:cs="Calibri"/>
                <w:sz w:val="20"/>
                <w:szCs w:val="20"/>
              </w:rPr>
            </w:pPr>
            <w:r>
              <w:rPr>
                <w:rFonts w:ascii="Calibri" w:hAnsi="Calibri" w:cs="Calibri"/>
                <w:color w:val="000000"/>
                <w:sz w:val="20"/>
                <w:szCs w:val="20"/>
              </w:rPr>
              <w:t>LT-84901</w:t>
            </w:r>
          </w:p>
        </w:tc>
        <w:tc>
          <w:tcPr>
            <w:tcW w:w="2611" w:type="pct"/>
          </w:tcPr>
          <w:p w:rsidR="00AF6312" w:rsidRPr="000A11F9" w:rsidRDefault="00AF6312" w:rsidP="007E4337">
            <w:pPr>
              <w:rPr>
                <w:rFonts w:ascii="Calibri" w:hAnsi="Calibri" w:cs="Calibri"/>
                <w:sz w:val="20"/>
                <w:szCs w:val="20"/>
              </w:rPr>
            </w:pPr>
            <w:r>
              <w:rPr>
                <w:rFonts w:ascii="Calibri" w:hAnsi="Calibri" w:cs="Calibri"/>
                <w:color w:val="000000"/>
                <w:sz w:val="20"/>
                <w:szCs w:val="20"/>
              </w:rPr>
              <w:t xml:space="preserve">Up to 360 Watt (Tier 2) Interior Fixture CFL replacing </w:t>
            </w:r>
            <w:r>
              <w:rPr>
                <w:rFonts w:ascii="Calibri" w:hAnsi="Calibri" w:cs="Calibri"/>
                <w:color w:val="000000"/>
                <w:sz w:val="20"/>
                <w:szCs w:val="20"/>
              </w:rPr>
              <w:lastRenderedPageBreak/>
              <w:t>greater than 400 Watt lamp base case</w:t>
            </w:r>
          </w:p>
        </w:tc>
        <w:tc>
          <w:tcPr>
            <w:tcW w:w="629" w:type="pct"/>
            <w:noWrap/>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lastRenderedPageBreak/>
              <w:t>$164.40</w:t>
            </w:r>
            <w:r>
              <w:rPr>
                <w:rFonts w:ascii="Calibri" w:hAnsi="Calibri" w:cs="Calibri"/>
                <w:color w:val="000000"/>
                <w:sz w:val="20"/>
                <w:szCs w:val="20"/>
              </w:rPr>
              <w:t>*</w:t>
            </w:r>
          </w:p>
        </w:tc>
        <w:tc>
          <w:tcPr>
            <w:tcW w:w="533" w:type="pct"/>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t>$72.17</w:t>
            </w:r>
          </w:p>
        </w:tc>
        <w:tc>
          <w:tcPr>
            <w:tcW w:w="630" w:type="pct"/>
            <w:vAlign w:val="center"/>
          </w:tcPr>
          <w:p w:rsidR="00AF6312" w:rsidRPr="00AF6312" w:rsidRDefault="00AF6312" w:rsidP="00AF6312">
            <w:pPr>
              <w:jc w:val="center"/>
              <w:rPr>
                <w:rFonts w:ascii="Calibri" w:hAnsi="Calibri"/>
                <w:color w:val="000000"/>
                <w:sz w:val="20"/>
                <w:szCs w:val="20"/>
              </w:rPr>
            </w:pPr>
            <w:r w:rsidRPr="00AF6312">
              <w:rPr>
                <w:rFonts w:ascii="Calibri" w:hAnsi="Calibri"/>
                <w:color w:val="000000"/>
                <w:sz w:val="20"/>
                <w:szCs w:val="20"/>
              </w:rPr>
              <w:t>$236.57</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lastRenderedPageBreak/>
              <w:t>LT-39256</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16 Watt Interior Fixture (Common Area) CFL replacing Incandescent Average Watts = 56.48</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$19.22</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$37.26</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LT-79504</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16 Watt Interior Fixture (Dwelling Area) CFL replacing Incandescent Average Watts = 56.48</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$19.22</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$40.23</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LT-93432</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22 Watt Interior Fixture (Common Area) CFL replacing Incandescent Average Watts = 77.66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$22.19</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$40.73</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LT-19423</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22 Watt Interior Fixture (Dwelling Area) CFL replacing Incandescent Average Watts = 77.66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$22.19</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$41.71</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LT-50765</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23 Watt Interior Fixture (Common Area) CFL replacing Incandescent Average Watts = 81.19</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$22.69</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$41.84</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LT-68432</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23 Watt Interior Fixture (Dwelling Area) CFL replacing Incandescent Average Watts = 81.19</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$22.69</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$42.71</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LT-40994</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25 Watt Interior Fixture (Common Area) CFL replacing Incandescent Average Watts = 88.25</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$23.67</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$44.19</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LT-80989</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25 Watt Interior Fixture (Dwelling Area) CFL replacing Incandescent Average Watts = 88.25</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$23.67</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$45.18</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LT-89854</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26 Watt Interior Fixture (Common Area) CFL replacing Incandescent Average Watts = 91.78</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$23.80</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$47.16</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LT-97876</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26 Watt Interior Fixture (Dwelling Area) CFL replacing Incandescent Average Watts = 91.78</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$23.80</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$48.64</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LT-24867</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27 Watt Interior Fixture (Common Area) CFL replacing Incandescent Average Watts = 95.31</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$24.66</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$49.14</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LT-39075</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27 Watt Interior Fixture (Dwelling Area) CFL replacing Incandescent Average Watts = 95.31</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$24.66</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$51.11</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LT-73649</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30 Watt Interior Fixture (Common Area) CFL replacing Incandescent Average Watts = 105.9</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$26.15</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$52.11</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LT-81657</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30 Watt Interior Fixture (Dwelling Area) CFL replacing Incandescent Average Watts = 105.9</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$26.15</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$55.07</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LT-59687</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32 Watt Interior Fixture (Common Area) CFL replacing Incandescent Average Watts = 112.96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$27.14</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$56.06</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LT-23209</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32 Watt Interior Fixture (Dwelling Area) CFL replacing Incandescent Average Watts = 112.96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$27.14</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$56.56</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LT-45765</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36 Watt Interior Fixture (Common Area) CFL replacing Incandescent Average Watts = 127.08</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$29.12</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$61.01</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LT-59876</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36 Watt Interior Fixture (Dwelling Area) CFL replacing Incandescent Average Watts = 127.08</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$29.12</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$63.48</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LT-79523</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39 Watt Interior Fixture (Common Area) CFL replacing Incandescent Average Watts = 137.67</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$30.60</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$64.97</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LT-87943</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39 Watt Interior Fixture (Dwelling Area) CFL replacing Incandescent Average Watts = 137.67</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$30.60</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$74.86</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keepNext/>
              <w:jc w:val="center"/>
              <w:rPr>
                <w:rFonts w:ascii="Calibri" w:hAnsi="Calibri" w:cs="Calibri"/>
                <w:sz w:val="20"/>
                <w:szCs w:val="20"/>
              </w:rPr>
            </w:pPr>
            <w:r w:rsidRPr="00FE2FE9">
              <w:rPr>
                <w:rFonts w:ascii="Calibri" w:hAnsi="Calibri" w:cs="Calibri"/>
                <w:color w:val="000000"/>
                <w:sz w:val="20"/>
                <w:szCs w:val="20"/>
              </w:rPr>
              <w:t>LT-35476</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40 Watt Interior Fixture (Common Area) CFL replacing Incandescent Average Watts = 141.2</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$31.10</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$37.26</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LT-49660</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40 Watt Interior Fixture (Dwelling Area) CFL replacing Incandescent Average Watts = 141.2</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$31.10</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$40.23</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LT-62735</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44 Watt Interior Fixture (Common Area) CFL replacing Incandescent Average Watts = 155.32</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$33.07</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$40.73</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LT-49593</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 xml:space="preserve">44 Watt Interior Fixture (Dwelling Area) CFL replacing </w:t>
            </w:r>
            <w:r>
              <w:rPr>
                <w:rFonts w:ascii="Calibri" w:hAnsi="Calibri"/>
                <w:color w:val="000000"/>
                <w:sz w:val="20"/>
                <w:szCs w:val="20"/>
              </w:rPr>
              <w:lastRenderedPageBreak/>
              <w:t>Incandescent Average Watts = 155.32</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lastRenderedPageBreak/>
              <w:t>$33.07</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$41.71</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lastRenderedPageBreak/>
              <w:t>LT-50587</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46 Watt Interior Fixture (Common Area) CFL replacing Incandescent Average Watts = 162.38</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$34.06</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$41.84</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LT-67654</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46 Watt Interior Fixture (Dwelling Area) CFL replacing Incandescent Average Watts = 162.38</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$34.06</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$42.71</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LT-78765</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52 Watt Interior Fixture (Common Area) CFL replacing Incandescent Average Watts = 183.56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$37.03</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$44.19</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LT-85876</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52 Watt Interior Fixture (Dwelling Area) CFL replacing Incandescent Average Watts = 183.56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$37.03</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$45.18</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LT-90987</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54 Watt Interior Fixture (Common Area) CFL replacing Incandescent Average Watts = 190.62</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$38.02</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$47.16</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LT-19143</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54 Watt Interior Fixture (Dwelling Area) CFL replacing Incandescent Average Watts = 190.62</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$38.02</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$48.64</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LT-27559</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55 Watt Interior Fixture (Common Area) CFL replacing Incandescent Average Watts = 194.15</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$38.52</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$49.14</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LT-34841</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55 Watt Interior Fixture (Dwelling Area) CFL replacing Incandescent Average Watts = 194.15</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$38.52</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$51.11</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65682A">
              <w:rPr>
                <w:rFonts w:ascii="Calibri" w:hAnsi="Calibri" w:cs="Arial"/>
                <w:color w:val="000000"/>
                <w:sz w:val="20"/>
                <w:szCs w:val="20"/>
              </w:rPr>
              <w:t>LT-72843</w:t>
            </w:r>
          </w:p>
        </w:tc>
        <w:tc>
          <w:tcPr>
            <w:tcW w:w="2611" w:type="pct"/>
            <w:vAlign w:val="bottom"/>
          </w:tcPr>
          <w:p w:rsidR="001C1CE4" w:rsidRDefault="001C1CE4" w:rsidP="00A23633">
            <w:pPr>
              <w:rPr>
                <w:rFonts w:ascii="Calibri" w:hAnsi="Calibri"/>
                <w:color w:val="000000"/>
                <w:sz w:val="20"/>
                <w:szCs w:val="20"/>
              </w:rPr>
            </w:pPr>
            <w:r>
              <w:rPr>
                <w:rFonts w:ascii="Calibri" w:hAnsi="Calibri"/>
                <w:color w:val="000000"/>
                <w:sz w:val="20"/>
                <w:szCs w:val="20"/>
              </w:rPr>
              <w:t xml:space="preserve">64 Watt Interior Fixture (Common Area) CFL replacing Incandescent Average Watts = </w:t>
            </w:r>
            <w:r w:rsidR="00A23633">
              <w:rPr>
                <w:rFonts w:ascii="Calibri" w:hAnsi="Calibri"/>
                <w:color w:val="000000"/>
                <w:sz w:val="20"/>
                <w:szCs w:val="20"/>
              </w:rPr>
              <w:t>225.92</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$42.97</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$52.11</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LT-38978</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64 Watt Interior Fixture (Dwelling Area) CFL replacing Incandescent Average Watts = 225.92</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$42.97</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$55.07</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LT-45343</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69 Watt Interior Fixture (Common Area) CFL replacing Incandescent Average Watts = 243.57</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$45.44</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$56.06</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0A11F9" w:rsidRDefault="001C1CE4" w:rsidP="007E4337">
            <w:pPr>
              <w:keepNext/>
              <w:jc w:val="center"/>
              <w:rPr>
                <w:rFonts w:ascii="Calibri" w:hAnsi="Calibri" w:cs="Calibri"/>
                <w:sz w:val="20"/>
                <w:szCs w:val="20"/>
              </w:rPr>
            </w:pPr>
            <w:r>
              <w:rPr>
                <w:rFonts w:ascii="Calibri" w:hAnsi="Calibri" w:cs="Calibri"/>
                <w:color w:val="000000"/>
                <w:sz w:val="20"/>
                <w:szCs w:val="20"/>
              </w:rPr>
              <w:t>LT-56473</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69 Watt Interior Fixture (Dwelling Area) CFL replacing Incandescent Average Watts = 243.57</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$45.44</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$56.56</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0A11F9" w:rsidRDefault="001C1CE4" w:rsidP="007E4337">
            <w:pPr>
              <w:jc w:val="center"/>
              <w:rPr>
                <w:rFonts w:ascii="Calibri" w:hAnsi="Calibri" w:cs="Calibri"/>
                <w:sz w:val="20"/>
                <w:szCs w:val="20"/>
              </w:rPr>
            </w:pPr>
            <w:r>
              <w:rPr>
                <w:rFonts w:ascii="Calibri" w:hAnsi="Calibri" w:cs="Calibri"/>
                <w:color w:val="000000"/>
                <w:sz w:val="20"/>
                <w:szCs w:val="20"/>
              </w:rPr>
              <w:t>LT-65832</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72 Watt Interior Fixture (Common Area) CFL replacing Incandescent Average Watts = 254.16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$46.93</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$61.01</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0A11F9" w:rsidRDefault="001C1CE4" w:rsidP="007E4337">
            <w:pPr>
              <w:jc w:val="center"/>
              <w:rPr>
                <w:rFonts w:ascii="Calibri" w:hAnsi="Calibri" w:cs="Calibri"/>
                <w:sz w:val="20"/>
                <w:szCs w:val="20"/>
              </w:rPr>
            </w:pPr>
            <w:r>
              <w:rPr>
                <w:rFonts w:ascii="Calibri" w:hAnsi="Calibri" w:cs="Calibri"/>
                <w:color w:val="000000"/>
                <w:sz w:val="20"/>
                <w:szCs w:val="20"/>
              </w:rPr>
              <w:t>LT-78567</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72 Watt Interior Fixture (Dwelling Area) CFL replacing Incandescent Average Watts = 254.16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$46.93</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$63.48</w:t>
            </w:r>
          </w:p>
        </w:tc>
      </w:tr>
      <w:tr w:rsidR="001C1CE4" w:rsidTr="001D6F1F">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0A11F9" w:rsidRDefault="001C1CE4" w:rsidP="007E4337">
            <w:pPr>
              <w:jc w:val="center"/>
              <w:rPr>
                <w:rFonts w:ascii="Calibri" w:hAnsi="Calibri" w:cs="Calibri"/>
                <w:sz w:val="20"/>
                <w:szCs w:val="20"/>
              </w:rPr>
            </w:pPr>
            <w:r>
              <w:rPr>
                <w:rFonts w:ascii="Calibri" w:hAnsi="Calibri" w:cs="Calibri"/>
                <w:color w:val="000000"/>
                <w:sz w:val="20"/>
                <w:szCs w:val="20"/>
              </w:rPr>
              <w:t>LT-87453</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92 Watt Interior Fixture (Common Area) CFL replacing Incandescent Average Watts = 324.76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$56.82</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$64.97</w:t>
            </w:r>
          </w:p>
        </w:tc>
      </w:tr>
      <w:tr w:rsidR="001C1CE4" w:rsidTr="001D6F1F">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0A11F9" w:rsidRDefault="001C1CE4" w:rsidP="007E4337">
            <w:pPr>
              <w:jc w:val="center"/>
              <w:rPr>
                <w:rFonts w:ascii="Calibri" w:hAnsi="Calibri" w:cs="Calibri"/>
                <w:sz w:val="20"/>
                <w:szCs w:val="20"/>
              </w:rPr>
            </w:pPr>
            <w:r>
              <w:rPr>
                <w:rFonts w:ascii="Calibri" w:hAnsi="Calibri" w:cs="Calibri"/>
                <w:color w:val="000000"/>
                <w:sz w:val="20"/>
                <w:szCs w:val="20"/>
              </w:rPr>
              <w:t>LT-90776</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92 Watt Interior Fixture (Dwelling Area) CFL replacing Incandescent Average Watts = 324.76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$56.82</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0"/>
              </w:rPr>
            </w:pPr>
            <w:r w:rsidRPr="00AF6312">
              <w:rPr>
                <w:rFonts w:ascii="Calibri" w:hAnsi="Calibri"/>
                <w:color w:val="000000"/>
                <w:sz w:val="20"/>
                <w:szCs w:val="20"/>
              </w:rPr>
              <w:t>$74.86</w:t>
            </w:r>
          </w:p>
        </w:tc>
      </w:tr>
    </w:tbl>
    <w:p w:rsidR="00A76FC8" w:rsidRPr="00CC6844" w:rsidRDefault="00A76FC8" w:rsidP="00A76FC8">
      <w:pPr>
        <w:pStyle w:val="Reminders"/>
        <w:rPr>
          <w:rFonts w:asciiTheme="minorHAnsi" w:hAnsiTheme="minorHAnsi" w:cstheme="minorHAnsi"/>
          <w:i w:val="0"/>
          <w:color w:val="auto"/>
          <w:sz w:val="20"/>
          <w:szCs w:val="22"/>
        </w:rPr>
      </w:pPr>
      <w:r w:rsidRPr="00CC6844">
        <w:rPr>
          <w:rFonts w:asciiTheme="minorHAnsi" w:hAnsiTheme="minorHAnsi" w:cstheme="minorHAnsi"/>
          <w:i w:val="0"/>
          <w:color w:val="auto"/>
          <w:sz w:val="20"/>
          <w:szCs w:val="22"/>
        </w:rPr>
        <w:t>*</w:t>
      </w:r>
      <w:r>
        <w:rPr>
          <w:rFonts w:asciiTheme="minorHAnsi" w:hAnsiTheme="minorHAnsi" w:cstheme="minorHAnsi"/>
          <w:i w:val="0"/>
          <w:color w:val="auto"/>
          <w:sz w:val="20"/>
          <w:szCs w:val="22"/>
        </w:rPr>
        <w:t>DEER Costs</w:t>
      </w:r>
    </w:p>
    <w:p w:rsidR="005A0E53" w:rsidRPr="00697868" w:rsidRDefault="005A0E53" w:rsidP="005A0E53">
      <w:pPr>
        <w:pStyle w:val="Heading2"/>
        <w:rPr>
          <w:rFonts w:asciiTheme="minorHAnsi" w:hAnsiTheme="minorHAnsi" w:cstheme="minorHAnsi"/>
        </w:rPr>
      </w:pPr>
      <w:bookmarkStart w:id="28" w:name="_Toc214003098"/>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EC2B80" w:rsidRPr="00FD6892" w:rsidRDefault="00EC2B80" w:rsidP="00EC2B80">
      <w:pPr>
        <w:rPr>
          <w:rFonts w:ascii="Calibri" w:hAnsi="Calibri" w:cs="Calibri"/>
          <w:color w:val="000000"/>
          <w:sz w:val="22"/>
          <w:szCs w:val="22"/>
        </w:rPr>
      </w:pPr>
      <w:r w:rsidRPr="00FD6892">
        <w:rPr>
          <w:rFonts w:ascii="Calibri" w:hAnsi="Calibri" w:cs="Calibri"/>
          <w:color w:val="000000"/>
          <w:sz w:val="22"/>
          <w:szCs w:val="22"/>
        </w:rPr>
        <w:t xml:space="preserve">The costs of the CFL fixtures (with ranges in the measure name) were based on talking with various manufacturers [See </w:t>
      </w:r>
      <w:proofErr w:type="gramStart"/>
      <w:r w:rsidRPr="00FD6892">
        <w:rPr>
          <w:rFonts w:ascii="Calibri" w:hAnsi="Calibri" w:cs="Calibri"/>
          <w:color w:val="000000"/>
          <w:sz w:val="22"/>
          <w:szCs w:val="22"/>
        </w:rPr>
        <w:t>attachment</w:t>
      </w:r>
      <w:r>
        <w:rPr>
          <w:rFonts w:ascii="Calibri" w:hAnsi="Calibri" w:cs="Calibri"/>
          <w:color w:val="000000"/>
          <w:sz w:val="22"/>
          <w:szCs w:val="22"/>
        </w:rPr>
        <w:t>s</w:t>
      </w:r>
      <w:r w:rsidR="00501EBD">
        <w:rPr>
          <w:rFonts w:ascii="Calibri" w:hAnsi="Calibri" w:cs="Calibri"/>
          <w:color w:val="000000"/>
          <w:sz w:val="22"/>
          <w:szCs w:val="22"/>
        </w:rPr>
        <w:t xml:space="preserve"> </w:t>
      </w:r>
      <w:proofErr w:type="gramEnd"/>
      <w:r w:rsidR="00F514A5" w:rsidRPr="00F514A5">
        <w:rPr>
          <w:rStyle w:val="EndnoteReference"/>
          <w:rFonts w:ascii="Calibri" w:hAnsi="Calibri" w:cs="Calibri"/>
          <w:color w:val="000000"/>
          <w:sz w:val="22"/>
          <w:szCs w:val="22"/>
          <w:vertAlign w:val="baseline"/>
        </w:rPr>
        <w:endnoteReference w:id="4"/>
      </w:r>
      <w:r w:rsidR="00F514A5" w:rsidRPr="00F514A5">
        <w:rPr>
          <w:rFonts w:ascii="Calibri" w:hAnsi="Calibri" w:cs="Calibri"/>
          <w:color w:val="000000"/>
          <w:sz w:val="22"/>
          <w:szCs w:val="22"/>
        </w:rPr>
        <w:t xml:space="preserve">, </w:t>
      </w:r>
      <w:r w:rsidR="00F514A5" w:rsidRPr="00F514A5">
        <w:rPr>
          <w:rStyle w:val="EndnoteReference"/>
          <w:rFonts w:ascii="Calibri" w:hAnsi="Calibri" w:cs="Calibri"/>
          <w:color w:val="000000"/>
          <w:sz w:val="22"/>
          <w:szCs w:val="22"/>
          <w:vertAlign w:val="baseline"/>
        </w:rPr>
        <w:endnoteReference w:id="5"/>
      </w:r>
      <w:r w:rsidR="00F514A5" w:rsidRPr="00F514A5">
        <w:rPr>
          <w:rFonts w:ascii="Calibri" w:hAnsi="Calibri" w:cs="Calibri"/>
          <w:color w:val="000000"/>
          <w:sz w:val="22"/>
          <w:szCs w:val="22"/>
        </w:rPr>
        <w:t>,</w:t>
      </w:r>
      <w:r w:rsidR="00F514A5" w:rsidRPr="00F514A5">
        <w:rPr>
          <w:rStyle w:val="EndnoteReference"/>
          <w:rFonts w:ascii="Calibri" w:hAnsi="Calibri" w:cs="Calibri"/>
          <w:color w:val="000000"/>
          <w:sz w:val="22"/>
          <w:szCs w:val="22"/>
          <w:vertAlign w:val="baseline"/>
        </w:rPr>
        <w:endnoteReference w:id="6"/>
      </w:r>
      <w:r w:rsidR="00501EBD" w:rsidRPr="00F514A5">
        <w:rPr>
          <w:rFonts w:ascii="Calibri" w:hAnsi="Calibri" w:cs="Calibri"/>
          <w:color w:val="000000"/>
          <w:sz w:val="22"/>
          <w:szCs w:val="22"/>
        </w:rPr>
        <w:t>]</w:t>
      </w:r>
      <w:r w:rsidRPr="00F514A5">
        <w:rPr>
          <w:rFonts w:ascii="Calibri" w:hAnsi="Calibri" w:cs="Calibri"/>
          <w:color w:val="000000"/>
          <w:sz w:val="22"/>
          <w:szCs w:val="22"/>
        </w:rPr>
        <w:t>.</w:t>
      </w:r>
      <w:r w:rsidRPr="00FD6892">
        <w:rPr>
          <w:rFonts w:ascii="Calibri" w:hAnsi="Calibri" w:cs="Calibri"/>
          <w:color w:val="000000"/>
          <w:sz w:val="22"/>
          <w:szCs w:val="22"/>
        </w:rPr>
        <w:t xml:space="preserve"> For all other measures, the gross measure cost was taken (extrapolated) from DEER 2008 [215] and was used to derive the measure equipment cost. The cost of the labor was based on the cost of labor for installing the base case metal halide fixtures from DEER 2008 [215].  The complete </w:t>
      </w:r>
      <w:r w:rsidR="00F26C6F">
        <w:rPr>
          <w:rFonts w:ascii="Calibri" w:hAnsi="Calibri" w:cs="Calibri"/>
          <w:color w:val="000000"/>
          <w:sz w:val="22"/>
          <w:szCs w:val="22"/>
        </w:rPr>
        <w:t>Gross Measure Cost (</w:t>
      </w:r>
      <w:r w:rsidRPr="00FD6892">
        <w:rPr>
          <w:rFonts w:ascii="Calibri" w:hAnsi="Calibri" w:cs="Calibri"/>
          <w:color w:val="000000"/>
          <w:sz w:val="22"/>
          <w:szCs w:val="22"/>
        </w:rPr>
        <w:t>GMC</w:t>
      </w:r>
      <w:r w:rsidR="00F26C6F">
        <w:rPr>
          <w:rFonts w:ascii="Calibri" w:hAnsi="Calibri" w:cs="Calibri"/>
          <w:color w:val="000000"/>
          <w:sz w:val="22"/>
          <w:szCs w:val="22"/>
        </w:rPr>
        <w:t>)</w:t>
      </w:r>
      <w:r w:rsidRPr="00FD6892">
        <w:rPr>
          <w:rFonts w:ascii="Calibri" w:hAnsi="Calibri" w:cs="Calibri"/>
          <w:color w:val="000000"/>
          <w:sz w:val="22"/>
          <w:szCs w:val="22"/>
        </w:rPr>
        <w:t xml:space="preserve"> including calculations along with the DEER defined climate zone multipliers can be found in the attachments.</w:t>
      </w:r>
    </w:p>
    <w:p w:rsidR="00EC2B80" w:rsidRDefault="00EC2B80" w:rsidP="005A0E53">
      <w:pPr>
        <w:pStyle w:val="Reminders"/>
        <w:rPr>
          <w:rFonts w:asciiTheme="minorHAnsi" w:hAnsiTheme="minorHAnsi" w:cstheme="minorHAnsi"/>
          <w:sz w:val="22"/>
          <w:szCs w:val="22"/>
        </w:rPr>
      </w:pPr>
    </w:p>
    <w:p w:rsidR="00ED18D3" w:rsidRDefault="00ED18D3" w:rsidP="00A76FC8">
      <w:pPr>
        <w:pStyle w:val="Caption"/>
        <w:jc w:val="center"/>
        <w:rPr>
          <w:rFonts w:ascii="Calibri" w:hAnsi="Calibri" w:cs="Calibri"/>
          <w:sz w:val="22"/>
          <w:szCs w:val="22"/>
        </w:rPr>
      </w:pPr>
      <w:bookmarkStart w:id="29" w:name="_Ref394994147"/>
    </w:p>
    <w:p w:rsidR="00ED18D3" w:rsidRDefault="00ED18D3" w:rsidP="00A76FC8">
      <w:pPr>
        <w:pStyle w:val="Caption"/>
        <w:jc w:val="center"/>
        <w:rPr>
          <w:rFonts w:ascii="Calibri" w:hAnsi="Calibri" w:cs="Calibri"/>
          <w:sz w:val="22"/>
          <w:szCs w:val="22"/>
        </w:rPr>
      </w:pPr>
    </w:p>
    <w:p w:rsidR="00ED18D3" w:rsidRDefault="00ED18D3" w:rsidP="00A76FC8">
      <w:pPr>
        <w:pStyle w:val="Caption"/>
        <w:jc w:val="center"/>
        <w:rPr>
          <w:rFonts w:ascii="Calibri" w:hAnsi="Calibri" w:cs="Calibri"/>
          <w:sz w:val="22"/>
          <w:szCs w:val="22"/>
        </w:rPr>
      </w:pPr>
    </w:p>
    <w:p w:rsidR="00976A04" w:rsidRDefault="00976A04" w:rsidP="00A76FC8">
      <w:pPr>
        <w:pStyle w:val="Caption"/>
        <w:jc w:val="center"/>
        <w:rPr>
          <w:rFonts w:ascii="Calibri" w:hAnsi="Calibri" w:cs="Calibri"/>
          <w:sz w:val="22"/>
          <w:szCs w:val="22"/>
        </w:rPr>
      </w:pPr>
    </w:p>
    <w:p w:rsidR="00A76FC8" w:rsidRPr="00984951" w:rsidRDefault="00A76FC8" w:rsidP="00A76FC8">
      <w:pPr>
        <w:pStyle w:val="Caption"/>
        <w:jc w:val="center"/>
        <w:rPr>
          <w:rFonts w:ascii="Calibri" w:hAnsi="Calibri" w:cs="Calibri"/>
          <w:sz w:val="22"/>
          <w:szCs w:val="22"/>
        </w:rPr>
      </w:pPr>
      <w:r w:rsidRPr="0035762B">
        <w:rPr>
          <w:rFonts w:ascii="Calibri" w:hAnsi="Calibri" w:cs="Calibri"/>
          <w:sz w:val="22"/>
          <w:szCs w:val="22"/>
        </w:rPr>
        <w:lastRenderedPageBreak/>
        <w:t xml:space="preserve">Table </w:t>
      </w:r>
      <w:r w:rsidRPr="0035762B">
        <w:rPr>
          <w:rFonts w:ascii="Calibri" w:hAnsi="Calibri" w:cs="Calibri"/>
          <w:sz w:val="22"/>
          <w:szCs w:val="22"/>
        </w:rPr>
        <w:fldChar w:fldCharType="begin"/>
      </w:r>
      <w:r w:rsidRPr="0035762B">
        <w:rPr>
          <w:rFonts w:ascii="Calibri" w:hAnsi="Calibri" w:cs="Calibri"/>
          <w:sz w:val="22"/>
          <w:szCs w:val="22"/>
        </w:rPr>
        <w:instrText xml:space="preserve"> SEQ Table \* ARABIC </w:instrText>
      </w:r>
      <w:r w:rsidRPr="0035762B">
        <w:rPr>
          <w:rFonts w:ascii="Calibri" w:hAnsi="Calibri" w:cs="Calibri"/>
          <w:sz w:val="22"/>
          <w:szCs w:val="22"/>
        </w:rPr>
        <w:fldChar w:fldCharType="separate"/>
      </w:r>
      <w:r w:rsidR="00AF6312">
        <w:rPr>
          <w:rFonts w:ascii="Calibri" w:hAnsi="Calibri" w:cs="Calibri"/>
          <w:noProof/>
          <w:sz w:val="22"/>
          <w:szCs w:val="22"/>
        </w:rPr>
        <w:t>12</w:t>
      </w:r>
      <w:r w:rsidRPr="0035762B">
        <w:rPr>
          <w:rFonts w:ascii="Calibri" w:hAnsi="Calibri" w:cs="Calibri"/>
          <w:sz w:val="22"/>
          <w:szCs w:val="22"/>
        </w:rPr>
        <w:fldChar w:fldCharType="end"/>
      </w:r>
      <w:bookmarkEnd w:id="29"/>
      <w:r>
        <w:rPr>
          <w:rFonts w:ascii="Calibri" w:hAnsi="Calibri" w:cs="Calibri"/>
          <w:sz w:val="22"/>
          <w:szCs w:val="22"/>
        </w:rPr>
        <w:t xml:space="preserve"> Measure Case Cost</w:t>
      </w:r>
    </w:p>
    <w:tbl>
      <w:tblPr>
        <w:tblStyle w:val="TableContemporary"/>
        <w:tblW w:w="4850" w:type="pct"/>
        <w:tblLayout w:type="fixed"/>
        <w:tblLook w:val="01E0" w:firstRow="1" w:lastRow="1" w:firstColumn="1" w:lastColumn="1" w:noHBand="0" w:noVBand="0"/>
      </w:tblPr>
      <w:tblGrid>
        <w:gridCol w:w="1109"/>
        <w:gridCol w:w="4851"/>
        <w:gridCol w:w="1169"/>
        <w:gridCol w:w="990"/>
        <w:gridCol w:w="1170"/>
      </w:tblGrid>
      <w:tr w:rsidR="00A76FC8" w:rsidRPr="00297415" w:rsidTr="00A76FC8">
        <w:trPr>
          <w:cnfStyle w:val="100000000000" w:firstRow="1" w:lastRow="0" w:firstColumn="0" w:lastColumn="0" w:oddVBand="0" w:evenVBand="0" w:oddHBand="0" w:evenHBand="0" w:firstRowFirstColumn="0" w:firstRowLastColumn="0" w:lastRowFirstColumn="0" w:lastRowLastColumn="0"/>
          <w:trHeight w:val="765"/>
        </w:trPr>
        <w:tc>
          <w:tcPr>
            <w:tcW w:w="597" w:type="pct"/>
          </w:tcPr>
          <w:p w:rsidR="00A76FC8" w:rsidRPr="00297415" w:rsidRDefault="00A76FC8" w:rsidP="007E4337">
            <w:pPr>
              <w:jc w:val="center"/>
              <w:rPr>
                <w:rFonts w:ascii="Calibri" w:hAnsi="Calibri" w:cs="Calibri"/>
                <w:bCs w:val="0"/>
                <w:sz w:val="20"/>
                <w:szCs w:val="20"/>
              </w:rPr>
            </w:pPr>
            <w:r w:rsidRPr="00297415">
              <w:rPr>
                <w:rFonts w:ascii="Calibri" w:hAnsi="Calibri" w:cs="Calibri"/>
                <w:bCs w:val="0"/>
                <w:sz w:val="20"/>
                <w:szCs w:val="20"/>
              </w:rPr>
              <w:t>Solution Code</w:t>
            </w:r>
          </w:p>
        </w:tc>
        <w:tc>
          <w:tcPr>
            <w:tcW w:w="2611" w:type="pct"/>
          </w:tcPr>
          <w:p w:rsidR="00A76FC8" w:rsidRPr="00297415" w:rsidRDefault="00A76FC8" w:rsidP="007E4337">
            <w:pPr>
              <w:jc w:val="center"/>
              <w:rPr>
                <w:rFonts w:ascii="Calibri" w:hAnsi="Calibri" w:cs="Calibri"/>
                <w:bCs w:val="0"/>
                <w:sz w:val="20"/>
                <w:szCs w:val="20"/>
              </w:rPr>
            </w:pPr>
            <w:r w:rsidRPr="00297415">
              <w:rPr>
                <w:rFonts w:ascii="Calibri" w:hAnsi="Calibri" w:cs="Calibri"/>
                <w:bCs w:val="0"/>
                <w:sz w:val="20"/>
                <w:szCs w:val="20"/>
              </w:rPr>
              <w:t>Measure Name</w:t>
            </w:r>
          </w:p>
        </w:tc>
        <w:tc>
          <w:tcPr>
            <w:tcW w:w="629" w:type="pct"/>
            <w:noWrap/>
          </w:tcPr>
          <w:p w:rsidR="00A76FC8" w:rsidRPr="00297415" w:rsidRDefault="00A76FC8" w:rsidP="007E4337">
            <w:pPr>
              <w:jc w:val="center"/>
              <w:rPr>
                <w:rFonts w:ascii="Calibri" w:hAnsi="Calibri" w:cs="Calibri"/>
                <w:bCs w:val="0"/>
                <w:sz w:val="20"/>
                <w:szCs w:val="20"/>
              </w:rPr>
            </w:pPr>
            <w:r>
              <w:rPr>
                <w:rFonts w:ascii="Calibri" w:hAnsi="Calibri" w:cs="Calibri"/>
                <w:bCs w:val="0"/>
                <w:sz w:val="20"/>
                <w:szCs w:val="20"/>
              </w:rPr>
              <w:t>Measure</w:t>
            </w:r>
          </w:p>
          <w:p w:rsidR="00A76FC8" w:rsidRPr="00297415" w:rsidRDefault="00A76FC8" w:rsidP="007E4337">
            <w:pPr>
              <w:jc w:val="center"/>
              <w:rPr>
                <w:rFonts w:ascii="Calibri" w:hAnsi="Calibri" w:cs="Calibri"/>
                <w:bCs w:val="0"/>
                <w:sz w:val="20"/>
                <w:szCs w:val="20"/>
              </w:rPr>
            </w:pPr>
            <w:r w:rsidRPr="00297415">
              <w:rPr>
                <w:rFonts w:ascii="Calibri" w:hAnsi="Calibri" w:cs="Calibri"/>
                <w:bCs w:val="0"/>
                <w:sz w:val="20"/>
                <w:szCs w:val="20"/>
              </w:rPr>
              <w:t>Equipment</w:t>
            </w:r>
          </w:p>
          <w:p w:rsidR="00A76FC8" w:rsidRPr="00297415" w:rsidRDefault="00A76FC8" w:rsidP="007E4337">
            <w:pPr>
              <w:jc w:val="center"/>
              <w:rPr>
                <w:rFonts w:ascii="Calibri" w:hAnsi="Calibri" w:cs="Calibri"/>
                <w:sz w:val="20"/>
                <w:szCs w:val="20"/>
              </w:rPr>
            </w:pPr>
            <w:r w:rsidRPr="00297415">
              <w:rPr>
                <w:rFonts w:ascii="Calibri" w:hAnsi="Calibri" w:cs="Calibri"/>
                <w:bCs w:val="0"/>
                <w:sz w:val="20"/>
                <w:szCs w:val="20"/>
              </w:rPr>
              <w:t>Cost</w:t>
            </w:r>
          </w:p>
        </w:tc>
        <w:tc>
          <w:tcPr>
            <w:tcW w:w="533" w:type="pct"/>
          </w:tcPr>
          <w:p w:rsidR="00A76FC8" w:rsidRPr="00297415" w:rsidRDefault="00A76FC8" w:rsidP="007E4337">
            <w:pPr>
              <w:jc w:val="center"/>
              <w:rPr>
                <w:rFonts w:ascii="Calibri" w:hAnsi="Calibri" w:cs="Calibri"/>
                <w:bCs w:val="0"/>
                <w:sz w:val="20"/>
                <w:szCs w:val="20"/>
              </w:rPr>
            </w:pPr>
            <w:r>
              <w:rPr>
                <w:rFonts w:ascii="Calibri" w:hAnsi="Calibri" w:cs="Calibri"/>
                <w:bCs w:val="0"/>
                <w:sz w:val="20"/>
                <w:szCs w:val="20"/>
              </w:rPr>
              <w:t>Measure Labor Cost</w:t>
            </w:r>
          </w:p>
        </w:tc>
        <w:tc>
          <w:tcPr>
            <w:tcW w:w="630" w:type="pct"/>
          </w:tcPr>
          <w:p w:rsidR="00A76FC8" w:rsidRPr="00297415" w:rsidRDefault="00A76FC8" w:rsidP="007E4337">
            <w:pPr>
              <w:jc w:val="center"/>
              <w:rPr>
                <w:rFonts w:ascii="Calibri" w:hAnsi="Calibri" w:cs="Calibri"/>
                <w:bCs w:val="0"/>
                <w:sz w:val="20"/>
                <w:szCs w:val="20"/>
              </w:rPr>
            </w:pPr>
            <w:r>
              <w:rPr>
                <w:rFonts w:ascii="Calibri" w:hAnsi="Calibri" w:cs="Calibri"/>
                <w:bCs w:val="0"/>
                <w:sz w:val="20"/>
                <w:szCs w:val="20"/>
              </w:rPr>
              <w:t>Measure Case Cost</w:t>
            </w:r>
          </w:p>
        </w:tc>
      </w:tr>
      <w:tr w:rsidR="00AF6312" w:rsidTr="00AF6312">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AF6312" w:rsidRPr="000A11F9" w:rsidRDefault="00AF6312" w:rsidP="007E4337">
            <w:pPr>
              <w:jc w:val="center"/>
              <w:rPr>
                <w:rFonts w:ascii="Calibri" w:hAnsi="Calibri" w:cs="Calibri"/>
                <w:sz w:val="20"/>
                <w:szCs w:val="20"/>
              </w:rPr>
            </w:pPr>
            <w:r>
              <w:rPr>
                <w:rFonts w:ascii="Calibri" w:hAnsi="Calibri" w:cs="Calibri"/>
                <w:color w:val="000000"/>
                <w:sz w:val="20"/>
                <w:szCs w:val="20"/>
              </w:rPr>
              <w:t>LT-17083</w:t>
            </w:r>
          </w:p>
        </w:tc>
        <w:tc>
          <w:tcPr>
            <w:tcW w:w="2611" w:type="pct"/>
          </w:tcPr>
          <w:p w:rsidR="00AF6312" w:rsidRPr="000A11F9" w:rsidRDefault="00AF6312" w:rsidP="007E4337">
            <w:pPr>
              <w:rPr>
                <w:rFonts w:ascii="Calibri" w:hAnsi="Calibri" w:cs="Calibri"/>
                <w:sz w:val="20"/>
                <w:szCs w:val="20"/>
              </w:rPr>
            </w:pPr>
            <w:r>
              <w:rPr>
                <w:rFonts w:ascii="Calibri" w:hAnsi="Calibri" w:cs="Calibri"/>
                <w:color w:val="000000"/>
                <w:sz w:val="20"/>
                <w:szCs w:val="20"/>
              </w:rPr>
              <w:t>Up to 70 Watt Interior Fixture CFL replacing less than 100 Watt lamp base case</w:t>
            </w:r>
          </w:p>
        </w:tc>
        <w:tc>
          <w:tcPr>
            <w:tcW w:w="629" w:type="pct"/>
            <w:noWrap/>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t>$111.00</w:t>
            </w:r>
          </w:p>
        </w:tc>
        <w:tc>
          <w:tcPr>
            <w:tcW w:w="533" w:type="pct"/>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t>$18.04</w:t>
            </w:r>
          </w:p>
        </w:tc>
        <w:tc>
          <w:tcPr>
            <w:tcW w:w="630" w:type="pct"/>
            <w:vAlign w:val="center"/>
          </w:tcPr>
          <w:p w:rsidR="00AF6312" w:rsidRPr="00AF6312" w:rsidRDefault="00AF6312" w:rsidP="00AF6312">
            <w:pPr>
              <w:jc w:val="center"/>
              <w:rPr>
                <w:rFonts w:ascii="Calibri" w:hAnsi="Calibri"/>
                <w:color w:val="000000"/>
                <w:sz w:val="20"/>
                <w:szCs w:val="22"/>
              </w:rPr>
            </w:pPr>
            <w:r w:rsidRPr="00AF6312">
              <w:rPr>
                <w:rFonts w:ascii="Calibri" w:hAnsi="Calibri"/>
                <w:color w:val="000000"/>
                <w:sz w:val="20"/>
                <w:szCs w:val="22"/>
              </w:rPr>
              <w:t>$129.04</w:t>
            </w:r>
          </w:p>
        </w:tc>
      </w:tr>
      <w:tr w:rsidR="00AF6312" w:rsidTr="00AF6312">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AF6312" w:rsidRPr="000A11F9" w:rsidRDefault="00AF6312" w:rsidP="007E4337">
            <w:pPr>
              <w:jc w:val="center"/>
              <w:rPr>
                <w:rFonts w:ascii="Calibri" w:hAnsi="Calibri" w:cs="Calibri"/>
                <w:sz w:val="20"/>
                <w:szCs w:val="20"/>
              </w:rPr>
            </w:pPr>
            <w:r>
              <w:rPr>
                <w:rFonts w:ascii="Calibri" w:hAnsi="Calibri" w:cs="Calibri"/>
                <w:color w:val="000000"/>
                <w:sz w:val="20"/>
                <w:szCs w:val="20"/>
              </w:rPr>
              <w:t>LT-83701</w:t>
            </w:r>
          </w:p>
        </w:tc>
        <w:tc>
          <w:tcPr>
            <w:tcW w:w="2611" w:type="pct"/>
          </w:tcPr>
          <w:p w:rsidR="00AF6312" w:rsidRPr="000A11F9" w:rsidRDefault="00AF6312" w:rsidP="007E4337">
            <w:pPr>
              <w:rPr>
                <w:rFonts w:ascii="Calibri" w:hAnsi="Calibri" w:cs="Calibri"/>
                <w:sz w:val="20"/>
                <w:szCs w:val="20"/>
              </w:rPr>
            </w:pPr>
            <w:r>
              <w:rPr>
                <w:rFonts w:ascii="Calibri" w:hAnsi="Calibri" w:cs="Calibri"/>
                <w:color w:val="000000"/>
                <w:sz w:val="20"/>
                <w:szCs w:val="20"/>
              </w:rPr>
              <w:t>Up to 128 Watt Interior Fixture CFL replacing 101 - 175 Watt lamp base case</w:t>
            </w:r>
          </w:p>
        </w:tc>
        <w:tc>
          <w:tcPr>
            <w:tcW w:w="629" w:type="pct"/>
            <w:noWrap/>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t>$310.00</w:t>
            </w:r>
          </w:p>
        </w:tc>
        <w:tc>
          <w:tcPr>
            <w:tcW w:w="533" w:type="pct"/>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t>$72.17</w:t>
            </w:r>
          </w:p>
        </w:tc>
        <w:tc>
          <w:tcPr>
            <w:tcW w:w="630" w:type="pct"/>
            <w:vAlign w:val="center"/>
          </w:tcPr>
          <w:p w:rsidR="00AF6312" w:rsidRPr="00AF6312" w:rsidRDefault="00AF6312" w:rsidP="00AF6312">
            <w:pPr>
              <w:jc w:val="center"/>
              <w:rPr>
                <w:rFonts w:ascii="Calibri" w:hAnsi="Calibri"/>
                <w:color w:val="000000"/>
                <w:sz w:val="20"/>
                <w:szCs w:val="22"/>
              </w:rPr>
            </w:pPr>
            <w:r w:rsidRPr="00AF6312">
              <w:rPr>
                <w:rFonts w:ascii="Calibri" w:hAnsi="Calibri"/>
                <w:color w:val="000000"/>
                <w:sz w:val="20"/>
                <w:szCs w:val="22"/>
              </w:rPr>
              <w:t>$382.17</w:t>
            </w:r>
          </w:p>
        </w:tc>
      </w:tr>
      <w:tr w:rsidR="00AF6312" w:rsidTr="00AF6312">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AF6312" w:rsidRPr="000A11F9" w:rsidRDefault="00AF6312" w:rsidP="007E4337">
            <w:pPr>
              <w:jc w:val="center"/>
              <w:rPr>
                <w:rFonts w:ascii="Calibri" w:hAnsi="Calibri" w:cs="Calibri"/>
                <w:sz w:val="20"/>
                <w:szCs w:val="20"/>
              </w:rPr>
            </w:pPr>
            <w:r>
              <w:rPr>
                <w:rFonts w:ascii="Calibri" w:hAnsi="Calibri" w:cs="Calibri"/>
                <w:color w:val="000000"/>
                <w:sz w:val="20"/>
                <w:szCs w:val="20"/>
              </w:rPr>
              <w:t>LT-33489</w:t>
            </w:r>
          </w:p>
        </w:tc>
        <w:tc>
          <w:tcPr>
            <w:tcW w:w="2611" w:type="pct"/>
          </w:tcPr>
          <w:p w:rsidR="00AF6312" w:rsidRPr="000A11F9" w:rsidRDefault="00AF6312" w:rsidP="007E4337">
            <w:pPr>
              <w:rPr>
                <w:rFonts w:ascii="Calibri" w:hAnsi="Calibri" w:cs="Calibri"/>
                <w:sz w:val="20"/>
                <w:szCs w:val="20"/>
              </w:rPr>
            </w:pPr>
            <w:r>
              <w:rPr>
                <w:rFonts w:ascii="Calibri" w:hAnsi="Calibri" w:cs="Calibri"/>
                <w:color w:val="000000"/>
                <w:sz w:val="20"/>
                <w:szCs w:val="20"/>
              </w:rPr>
              <w:t>Up to 192 Watt Interior Fixture CFL replacing 176 - 399 Watt lamp base case</w:t>
            </w:r>
          </w:p>
        </w:tc>
        <w:tc>
          <w:tcPr>
            <w:tcW w:w="629" w:type="pct"/>
            <w:noWrap/>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t>$310.00</w:t>
            </w:r>
          </w:p>
        </w:tc>
        <w:tc>
          <w:tcPr>
            <w:tcW w:w="533" w:type="pct"/>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t>$72.17</w:t>
            </w:r>
          </w:p>
        </w:tc>
        <w:tc>
          <w:tcPr>
            <w:tcW w:w="630" w:type="pct"/>
            <w:vAlign w:val="center"/>
          </w:tcPr>
          <w:p w:rsidR="00AF6312" w:rsidRPr="00AF6312" w:rsidRDefault="00AF6312" w:rsidP="00AF6312">
            <w:pPr>
              <w:jc w:val="center"/>
              <w:rPr>
                <w:rFonts w:ascii="Calibri" w:hAnsi="Calibri"/>
                <w:color w:val="000000"/>
                <w:sz w:val="20"/>
                <w:szCs w:val="22"/>
              </w:rPr>
            </w:pPr>
            <w:r w:rsidRPr="00AF6312">
              <w:rPr>
                <w:rFonts w:ascii="Calibri" w:hAnsi="Calibri"/>
                <w:color w:val="000000"/>
                <w:sz w:val="20"/>
                <w:szCs w:val="22"/>
              </w:rPr>
              <w:t>$382.17</w:t>
            </w:r>
          </w:p>
        </w:tc>
      </w:tr>
      <w:tr w:rsidR="00AF6312" w:rsidTr="00AF6312">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AF6312" w:rsidRPr="000A11F9" w:rsidRDefault="00AF6312" w:rsidP="007E4337">
            <w:pPr>
              <w:jc w:val="center"/>
              <w:rPr>
                <w:rFonts w:ascii="Calibri" w:hAnsi="Calibri" w:cs="Calibri"/>
                <w:sz w:val="20"/>
                <w:szCs w:val="20"/>
              </w:rPr>
            </w:pPr>
            <w:r>
              <w:rPr>
                <w:rFonts w:ascii="Calibri" w:hAnsi="Calibri" w:cs="Calibri"/>
                <w:color w:val="000000"/>
                <w:sz w:val="20"/>
                <w:szCs w:val="20"/>
              </w:rPr>
              <w:t>LT-26133</w:t>
            </w:r>
          </w:p>
        </w:tc>
        <w:tc>
          <w:tcPr>
            <w:tcW w:w="2611" w:type="pct"/>
          </w:tcPr>
          <w:p w:rsidR="00AF6312" w:rsidRPr="000A11F9" w:rsidRDefault="00AF6312" w:rsidP="007E4337">
            <w:pPr>
              <w:rPr>
                <w:rFonts w:ascii="Calibri" w:hAnsi="Calibri" w:cs="Calibri"/>
                <w:sz w:val="20"/>
                <w:szCs w:val="20"/>
              </w:rPr>
            </w:pPr>
            <w:r>
              <w:rPr>
                <w:rFonts w:ascii="Calibri" w:hAnsi="Calibri" w:cs="Calibri"/>
                <w:color w:val="000000"/>
                <w:sz w:val="20"/>
                <w:szCs w:val="20"/>
              </w:rPr>
              <w:t>Up to 244 Watt (Tier 1) Interior Fixture CFL replacing greater than 400 Watt lamp base case</w:t>
            </w:r>
          </w:p>
        </w:tc>
        <w:tc>
          <w:tcPr>
            <w:tcW w:w="629" w:type="pct"/>
            <w:noWrap/>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t>$225.00</w:t>
            </w:r>
          </w:p>
        </w:tc>
        <w:tc>
          <w:tcPr>
            <w:tcW w:w="533" w:type="pct"/>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t>$72.17</w:t>
            </w:r>
          </w:p>
        </w:tc>
        <w:tc>
          <w:tcPr>
            <w:tcW w:w="630" w:type="pct"/>
            <w:vAlign w:val="center"/>
          </w:tcPr>
          <w:p w:rsidR="00AF6312" w:rsidRPr="00AF6312" w:rsidRDefault="00AF6312" w:rsidP="00AF6312">
            <w:pPr>
              <w:jc w:val="center"/>
              <w:rPr>
                <w:rFonts w:ascii="Calibri" w:hAnsi="Calibri"/>
                <w:color w:val="000000"/>
                <w:sz w:val="20"/>
                <w:szCs w:val="22"/>
              </w:rPr>
            </w:pPr>
            <w:r w:rsidRPr="00AF6312">
              <w:rPr>
                <w:rFonts w:ascii="Calibri" w:hAnsi="Calibri"/>
                <w:color w:val="000000"/>
                <w:sz w:val="20"/>
                <w:szCs w:val="22"/>
              </w:rPr>
              <w:t>$297.17</w:t>
            </w:r>
          </w:p>
        </w:tc>
      </w:tr>
      <w:tr w:rsidR="00AF6312" w:rsidTr="00AF6312">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AF6312" w:rsidRPr="000A11F9" w:rsidRDefault="00AF6312" w:rsidP="007E4337">
            <w:pPr>
              <w:jc w:val="center"/>
              <w:rPr>
                <w:rFonts w:ascii="Calibri" w:hAnsi="Calibri" w:cs="Calibri"/>
                <w:sz w:val="20"/>
                <w:szCs w:val="20"/>
              </w:rPr>
            </w:pPr>
            <w:r>
              <w:rPr>
                <w:rFonts w:ascii="Calibri" w:hAnsi="Calibri" w:cs="Calibri"/>
                <w:color w:val="000000"/>
                <w:sz w:val="20"/>
                <w:szCs w:val="20"/>
              </w:rPr>
              <w:t>LT-84901</w:t>
            </w:r>
          </w:p>
        </w:tc>
        <w:tc>
          <w:tcPr>
            <w:tcW w:w="2611" w:type="pct"/>
          </w:tcPr>
          <w:p w:rsidR="00AF6312" w:rsidRPr="000A11F9" w:rsidRDefault="00AF6312" w:rsidP="007E4337">
            <w:pPr>
              <w:rPr>
                <w:rFonts w:ascii="Calibri" w:hAnsi="Calibri" w:cs="Calibri"/>
                <w:sz w:val="20"/>
                <w:szCs w:val="20"/>
              </w:rPr>
            </w:pPr>
            <w:r>
              <w:rPr>
                <w:rFonts w:ascii="Calibri" w:hAnsi="Calibri" w:cs="Calibri"/>
                <w:color w:val="000000"/>
                <w:sz w:val="20"/>
                <w:szCs w:val="20"/>
              </w:rPr>
              <w:t>Up to 360 Watt (Tier 2) Interior Fixture CFL replacing greater than 400 Watt lamp base case</w:t>
            </w:r>
          </w:p>
        </w:tc>
        <w:tc>
          <w:tcPr>
            <w:tcW w:w="629" w:type="pct"/>
            <w:noWrap/>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t>$385.00</w:t>
            </w:r>
          </w:p>
        </w:tc>
        <w:tc>
          <w:tcPr>
            <w:tcW w:w="533" w:type="pct"/>
            <w:vAlign w:val="center"/>
          </w:tcPr>
          <w:p w:rsidR="00AF6312" w:rsidRPr="000A11F9" w:rsidRDefault="00AF6312" w:rsidP="00AF6312">
            <w:pPr>
              <w:jc w:val="center"/>
              <w:rPr>
                <w:rFonts w:ascii="Calibri" w:hAnsi="Calibri" w:cs="Calibri"/>
                <w:color w:val="000000"/>
                <w:sz w:val="20"/>
                <w:szCs w:val="20"/>
              </w:rPr>
            </w:pPr>
            <w:r w:rsidRPr="000A11F9">
              <w:rPr>
                <w:rFonts w:ascii="Calibri" w:hAnsi="Calibri" w:cs="Calibri"/>
                <w:color w:val="000000"/>
                <w:sz w:val="20"/>
                <w:szCs w:val="20"/>
              </w:rPr>
              <w:t>$72.17</w:t>
            </w:r>
          </w:p>
        </w:tc>
        <w:tc>
          <w:tcPr>
            <w:tcW w:w="630" w:type="pct"/>
            <w:vAlign w:val="center"/>
          </w:tcPr>
          <w:p w:rsidR="00AF6312" w:rsidRPr="00AF6312" w:rsidRDefault="00AF6312" w:rsidP="00AF6312">
            <w:pPr>
              <w:jc w:val="center"/>
              <w:rPr>
                <w:rFonts w:ascii="Calibri" w:hAnsi="Calibri"/>
                <w:color w:val="000000"/>
                <w:sz w:val="20"/>
                <w:szCs w:val="22"/>
              </w:rPr>
            </w:pPr>
            <w:r w:rsidRPr="00AF6312">
              <w:rPr>
                <w:rFonts w:ascii="Calibri" w:hAnsi="Calibri"/>
                <w:color w:val="000000"/>
                <w:sz w:val="20"/>
                <w:szCs w:val="22"/>
              </w:rPr>
              <w:t>$457.17</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LT-39256</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16 Watt Interior Fixture (Common Area) CFL replacing Incandescent Average Watts = 56.48</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$21.52</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$39.56</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LT-79504</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16 Watt Interior Fixture (Dwelling Area) CFL replacing Incandescent Average Watts = 56.48</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$21.52</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$42.86</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LT-93432</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22 Watt Interior Fixture (Common Area) CFL replacing Incandescent Average Watts = 77.66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$24.81</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$43.41</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LT-19423</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22 Watt Interior Fixture (Dwelling Area) CFL replacing Incandescent Average Watts = 77.66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$24.81</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$44.50</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LT-50765</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23 Watt Interior Fixture (Common Area) CFL replacing Incandescent Average Watts = 81.19</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$25.36</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$45.05</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LT-68432</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23 Watt Interior Fixture (Dwelling Area) CFL replacing Incandescent Average Watts = 81.19</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$25.36</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$45.60</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LT-40994</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25 Watt Interior Fixture (Common Area) CFL replacing Incandescent Average Watts = 88.25</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$26.46</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$47.25</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LT-80989</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25 Watt Interior Fixture (Dwelling Area) CFL replacing Incandescent Average Watts = 88.25</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$26.46</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$48.34</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LT-89854</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26 Watt Interior Fixture (Common Area) CFL replacing Incandescent Average Watts = 91.78</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$27.01*</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$50.54</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LT-97876</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26 Watt Interior Fixture (Dwelling Area) CFL replacing Incandescent Average Watts = 91.78</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$27.01*</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$52.18</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LT-24867</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27 Watt Interior Fixture (Common Area) CFL replacing Incandescent Average Watts = 95.31</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$27.56</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$52.73</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LT-39075</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27 Watt Interior Fixture (Dwelling Area) CFL replacing Incandescent Average Watts = 95.31</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$27.56</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$54.92</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LT-73649</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30 Watt Interior Fixture (Common Area) CFL replacing Incandescent Average Watts = 105.9</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$29.20</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$56.02</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LT-81657</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30 Watt Interior Fixture (Dwelling Area) CFL replacing Incandescent Average Watts = 105.9</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$29.20</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$59.31</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LT-59687</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32 Watt Interior Fixture (Common Area) CFL replacing Incandescent Average Watts = 112.96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$30.30</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$60.41</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LT-23209</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32 Watt Interior Fixture (Dwelling Area) CFL replacing Incandescent Average Watts = 112.96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$30.30</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$60.96</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LT-45765</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36 Watt Interior Fixture (Common Area) CFL replacing Incandescent Average Watts = 127.08</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$32.49</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$65.89</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lastRenderedPageBreak/>
              <w:t>LT-59876</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36 Watt Interior Fixture (Dwelling Area) CFL replacing Incandescent Average Watts = 127.08</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$32.49</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$68.63</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LT-79523</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39 Watt Interior Fixture (Common Area) CFL replacing Incandescent Average Watts = 137.67</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$34.14</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$70.28</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LT-87943</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39 Watt Interior Fixture (Dwelling Area) CFL replacing Incandescent Average Watts = 137.67</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$34.14</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$81.25</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keepNext/>
              <w:jc w:val="center"/>
              <w:rPr>
                <w:rFonts w:ascii="Calibri" w:hAnsi="Calibri" w:cs="Calibri"/>
                <w:sz w:val="20"/>
                <w:szCs w:val="20"/>
              </w:rPr>
            </w:pPr>
            <w:r w:rsidRPr="00FE2FE9">
              <w:rPr>
                <w:rFonts w:ascii="Calibri" w:hAnsi="Calibri" w:cs="Calibri"/>
                <w:color w:val="000000"/>
                <w:sz w:val="20"/>
                <w:szCs w:val="20"/>
              </w:rPr>
              <w:t>LT-35476</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40 Watt Interior Fixture (Common Area) CFL replacing Incandescent Average Watts = 141.2</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$34.69</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$39.56</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LT-49660</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40 Watt Interior Fixture (Dwelling Area) CFL replacing Incandescent Average Watts = 141.2</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$34.69</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$42.86</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LT-62735</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44 Watt Interior Fixture (Common Area) CFL replacing Incandescent Average Watts = 155.32</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$36.88</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$43.41</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LT-49593</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44 Watt Interior Fixture (Dwelling Area) CFL replacing Incandescent Average Watts = 155.32</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$36.88</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$44.50</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LT-50587</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46 Watt Interior Fixture (Common Area) CFL replacing Incandescent Average Watts = 162.38</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$37.98</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$45.05</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LT-67654</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46 Watt Interior Fixture (Dwelling Area) CFL replacing Incandescent Average Watts = 162.38</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$37.98</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$45.60</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LT-78765</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52 Watt Interior Fixture (Common Area) CFL replacing Incandescent Average Watts = 183.56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$41.27</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$47.25</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LT-85876</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52 Watt Interior Fixture (Dwelling Area) CFL replacing Incandescent Average Watts = 183.56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$41.27</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$48.34</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LT-90987</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54 Watt Interior Fixture (Common Area) CFL replacing Incandescent Average Watts = 190.62</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$42.36</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$50.54</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LT-19143</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54 Watt Interior Fixture (Dwelling Area) CFL replacing Incandescent Average Watts = 190.62</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$42.36</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$52.18</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LT-27559</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55 Watt Interior Fixture (Common Area) CFL replacing Incandescent Average Watts = 194.15</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$42.91</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$52.73</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LT-34841</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55 Watt Interior Fixture (Dwelling Area) CFL replacing Incandescent Average Watts = 194.15</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$42.91</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$54.92</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65682A">
              <w:rPr>
                <w:rFonts w:ascii="Calibri" w:hAnsi="Calibri" w:cs="Arial"/>
                <w:color w:val="000000"/>
                <w:sz w:val="20"/>
                <w:szCs w:val="20"/>
              </w:rPr>
              <w:t>LT-72843</w:t>
            </w:r>
          </w:p>
        </w:tc>
        <w:tc>
          <w:tcPr>
            <w:tcW w:w="2611" w:type="pct"/>
            <w:vAlign w:val="bottom"/>
          </w:tcPr>
          <w:p w:rsidR="001C1CE4" w:rsidRDefault="001C1CE4" w:rsidP="00A23633">
            <w:pPr>
              <w:rPr>
                <w:rFonts w:ascii="Calibri" w:hAnsi="Calibri"/>
                <w:color w:val="000000"/>
                <w:sz w:val="20"/>
                <w:szCs w:val="20"/>
              </w:rPr>
            </w:pPr>
            <w:r>
              <w:rPr>
                <w:rFonts w:ascii="Calibri" w:hAnsi="Calibri"/>
                <w:color w:val="000000"/>
                <w:sz w:val="20"/>
                <w:szCs w:val="20"/>
              </w:rPr>
              <w:t xml:space="preserve">64 Watt Interior Fixture (Common Area) CFL replacing Incandescent Average Watts = </w:t>
            </w:r>
            <w:r w:rsidR="00A23633">
              <w:rPr>
                <w:rFonts w:ascii="Calibri" w:hAnsi="Calibri"/>
                <w:color w:val="000000"/>
                <w:sz w:val="20"/>
                <w:szCs w:val="20"/>
              </w:rPr>
              <w:t>225.92</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$47.85</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$56.02</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LT-38978</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64 Watt Interior Fixture (Dwelling Area) CFL replacing Incandescent Average Watts = 225.92</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$47.85</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$59.31</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LT-45343</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69 Watt Interior Fixture (Common Area) CFL replacing Incandescent Average Watts = 243.57</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$50.59</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$60.41</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0A11F9" w:rsidRDefault="001C1CE4" w:rsidP="007E4337">
            <w:pPr>
              <w:keepNext/>
              <w:jc w:val="center"/>
              <w:rPr>
                <w:rFonts w:ascii="Calibri" w:hAnsi="Calibri" w:cs="Calibri"/>
                <w:sz w:val="20"/>
                <w:szCs w:val="20"/>
              </w:rPr>
            </w:pPr>
            <w:r>
              <w:rPr>
                <w:rFonts w:ascii="Calibri" w:hAnsi="Calibri" w:cs="Calibri"/>
                <w:color w:val="000000"/>
                <w:sz w:val="20"/>
                <w:szCs w:val="20"/>
              </w:rPr>
              <w:t>LT-56473</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69 Watt Interior Fixture (Dwelling Area) CFL replacing Incandescent Average Watts = 243.57</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$50.59</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$60.96</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0A11F9" w:rsidRDefault="001C1CE4" w:rsidP="007E4337">
            <w:pPr>
              <w:jc w:val="center"/>
              <w:rPr>
                <w:rFonts w:ascii="Calibri" w:hAnsi="Calibri" w:cs="Calibri"/>
                <w:sz w:val="20"/>
                <w:szCs w:val="20"/>
              </w:rPr>
            </w:pPr>
            <w:r>
              <w:rPr>
                <w:rFonts w:ascii="Calibri" w:hAnsi="Calibri" w:cs="Calibri"/>
                <w:color w:val="000000"/>
                <w:sz w:val="20"/>
                <w:szCs w:val="20"/>
              </w:rPr>
              <w:t>LT-65832</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72 Watt Interior Fixture (Common Area) CFL replacing Incandescent Average Watts = 254.16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$52.23</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$65.89</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0A11F9" w:rsidRDefault="001C1CE4" w:rsidP="007E4337">
            <w:pPr>
              <w:jc w:val="center"/>
              <w:rPr>
                <w:rFonts w:ascii="Calibri" w:hAnsi="Calibri" w:cs="Calibri"/>
                <w:sz w:val="20"/>
                <w:szCs w:val="20"/>
              </w:rPr>
            </w:pPr>
            <w:r>
              <w:rPr>
                <w:rFonts w:ascii="Calibri" w:hAnsi="Calibri" w:cs="Calibri"/>
                <w:color w:val="000000"/>
                <w:sz w:val="20"/>
                <w:szCs w:val="20"/>
              </w:rPr>
              <w:t>LT-78567</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72 Watt Interior Fixture (Dwelling Area) CFL replacing Incandescent Average Watts = 254.16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$52.23</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$68.63</w:t>
            </w:r>
          </w:p>
        </w:tc>
      </w:tr>
      <w:tr w:rsidR="001C1CE4" w:rsidTr="00206EEA">
        <w:trPr>
          <w:cnfStyle w:val="000000010000" w:firstRow="0" w:lastRow="0" w:firstColumn="0" w:lastColumn="0" w:oddVBand="0" w:evenVBand="0" w:oddHBand="0" w:evenHBand="1" w:firstRowFirstColumn="0" w:firstRowLastColumn="0" w:lastRowFirstColumn="0" w:lastRowLastColumn="0"/>
          <w:trHeight w:val="255"/>
        </w:trPr>
        <w:tc>
          <w:tcPr>
            <w:tcW w:w="597" w:type="pct"/>
          </w:tcPr>
          <w:p w:rsidR="001C1CE4" w:rsidRPr="000A11F9" w:rsidRDefault="001C1CE4" w:rsidP="007E4337">
            <w:pPr>
              <w:jc w:val="center"/>
              <w:rPr>
                <w:rFonts w:ascii="Calibri" w:hAnsi="Calibri" w:cs="Calibri"/>
                <w:sz w:val="20"/>
                <w:szCs w:val="20"/>
              </w:rPr>
            </w:pPr>
            <w:r>
              <w:rPr>
                <w:rFonts w:ascii="Calibri" w:hAnsi="Calibri" w:cs="Calibri"/>
                <w:color w:val="000000"/>
                <w:sz w:val="20"/>
                <w:szCs w:val="20"/>
              </w:rPr>
              <w:t>LT-87453</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92 Watt Interior Fixture (Common Area) CFL replacing Incandescent Average Watts = 324.76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$63.20</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$70.28</w:t>
            </w:r>
          </w:p>
        </w:tc>
      </w:tr>
      <w:tr w:rsidR="001C1CE4" w:rsidTr="00206EEA">
        <w:trPr>
          <w:cnfStyle w:val="000000100000" w:firstRow="0" w:lastRow="0" w:firstColumn="0" w:lastColumn="0" w:oddVBand="0" w:evenVBand="0" w:oddHBand="1" w:evenHBand="0" w:firstRowFirstColumn="0" w:firstRowLastColumn="0" w:lastRowFirstColumn="0" w:lastRowLastColumn="0"/>
          <w:trHeight w:val="255"/>
        </w:trPr>
        <w:tc>
          <w:tcPr>
            <w:tcW w:w="597" w:type="pct"/>
          </w:tcPr>
          <w:p w:rsidR="001C1CE4" w:rsidRPr="000A11F9" w:rsidRDefault="001C1CE4" w:rsidP="007E4337">
            <w:pPr>
              <w:jc w:val="center"/>
              <w:rPr>
                <w:rFonts w:ascii="Calibri" w:hAnsi="Calibri" w:cs="Calibri"/>
                <w:sz w:val="20"/>
                <w:szCs w:val="20"/>
              </w:rPr>
            </w:pPr>
            <w:r>
              <w:rPr>
                <w:rFonts w:ascii="Calibri" w:hAnsi="Calibri" w:cs="Calibri"/>
                <w:color w:val="000000"/>
                <w:sz w:val="20"/>
                <w:szCs w:val="20"/>
              </w:rPr>
              <w:t>LT-90776</w:t>
            </w:r>
          </w:p>
        </w:tc>
        <w:tc>
          <w:tcPr>
            <w:tcW w:w="2611" w:type="pct"/>
            <w:vAlign w:val="bottom"/>
          </w:tcPr>
          <w:p w:rsidR="001C1CE4" w:rsidRDefault="001C1CE4">
            <w:pPr>
              <w:rPr>
                <w:rFonts w:ascii="Calibri" w:hAnsi="Calibri"/>
                <w:color w:val="000000"/>
                <w:sz w:val="20"/>
                <w:szCs w:val="20"/>
              </w:rPr>
            </w:pPr>
            <w:r>
              <w:rPr>
                <w:rFonts w:ascii="Calibri" w:hAnsi="Calibri"/>
                <w:color w:val="000000"/>
                <w:sz w:val="20"/>
                <w:szCs w:val="20"/>
              </w:rPr>
              <w:t>92 Watt Interior Fixture (Dwelling Area) CFL replacing Incandescent Average Watts = 324.76</w:t>
            </w:r>
          </w:p>
        </w:tc>
        <w:tc>
          <w:tcPr>
            <w:tcW w:w="629" w:type="pct"/>
            <w:noWrap/>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$63.20</w:t>
            </w:r>
          </w:p>
        </w:tc>
        <w:tc>
          <w:tcPr>
            <w:tcW w:w="533" w:type="pct"/>
            <w:vAlign w:val="center"/>
          </w:tcPr>
          <w:p w:rsidR="001C1CE4" w:rsidRDefault="001C1CE4" w:rsidP="00AF6312">
            <w:pPr>
              <w:jc w:val="center"/>
              <w:rPr>
                <w:rFonts w:ascii="Calibri" w:hAnsi="Calibri" w:cs="Arial"/>
                <w:color w:val="000000"/>
                <w:sz w:val="20"/>
                <w:szCs w:val="20"/>
              </w:rPr>
            </w:pPr>
            <w:r>
              <w:rPr>
                <w:rFonts w:ascii="Calibri" w:hAnsi="Calibri" w:cs="Arial"/>
                <w:color w:val="000000"/>
                <w:sz w:val="20"/>
                <w:szCs w:val="20"/>
              </w:rPr>
              <w:t>$18.04</w:t>
            </w:r>
          </w:p>
        </w:tc>
        <w:tc>
          <w:tcPr>
            <w:tcW w:w="630" w:type="pct"/>
            <w:vAlign w:val="center"/>
          </w:tcPr>
          <w:p w:rsidR="001C1CE4" w:rsidRPr="00AF6312" w:rsidRDefault="001C1CE4" w:rsidP="00AF6312">
            <w:pPr>
              <w:jc w:val="center"/>
              <w:rPr>
                <w:rFonts w:ascii="Calibri" w:hAnsi="Calibri"/>
                <w:color w:val="000000"/>
                <w:sz w:val="20"/>
                <w:szCs w:val="22"/>
              </w:rPr>
            </w:pPr>
            <w:r w:rsidRPr="00AF6312">
              <w:rPr>
                <w:rFonts w:ascii="Calibri" w:hAnsi="Calibri"/>
                <w:color w:val="000000"/>
                <w:sz w:val="20"/>
                <w:szCs w:val="22"/>
              </w:rPr>
              <w:t>$81.25</w:t>
            </w:r>
          </w:p>
        </w:tc>
      </w:tr>
    </w:tbl>
    <w:p w:rsidR="00A76FC8" w:rsidRPr="00CC6844" w:rsidRDefault="00A76FC8" w:rsidP="00A76FC8">
      <w:pPr>
        <w:pStyle w:val="Reminders"/>
        <w:rPr>
          <w:rFonts w:asciiTheme="minorHAnsi" w:hAnsiTheme="minorHAnsi" w:cstheme="minorHAnsi"/>
          <w:i w:val="0"/>
          <w:color w:val="auto"/>
          <w:sz w:val="20"/>
          <w:szCs w:val="22"/>
        </w:rPr>
      </w:pPr>
      <w:r w:rsidRPr="00CC6844">
        <w:rPr>
          <w:rFonts w:asciiTheme="minorHAnsi" w:hAnsiTheme="minorHAnsi" w:cstheme="minorHAnsi"/>
          <w:i w:val="0"/>
          <w:color w:val="auto"/>
          <w:sz w:val="20"/>
          <w:szCs w:val="22"/>
        </w:rPr>
        <w:t>*</w:t>
      </w:r>
      <w:r>
        <w:rPr>
          <w:rFonts w:asciiTheme="minorHAnsi" w:hAnsiTheme="minorHAnsi" w:cstheme="minorHAnsi"/>
          <w:i w:val="0"/>
          <w:color w:val="auto"/>
          <w:sz w:val="20"/>
          <w:szCs w:val="22"/>
        </w:rPr>
        <w:t>DEER Costs</w:t>
      </w:r>
    </w:p>
    <w:p w:rsidR="00E16609" w:rsidRDefault="005A0E53" w:rsidP="00E16609">
      <w:pPr>
        <w:pStyle w:val="Heading2"/>
        <w:keepNext w:val="0"/>
        <w:rPr>
          <w:rFonts w:asciiTheme="minorHAnsi" w:hAnsiTheme="minorHAnsi" w:cstheme="minorHAnsi"/>
        </w:rPr>
      </w:pPr>
      <w:r>
        <w:rPr>
          <w:rFonts w:asciiTheme="minorHAnsi" w:hAnsiTheme="minorHAnsi" w:cstheme="minorHAnsi"/>
        </w:rPr>
        <w:lastRenderedPageBreak/>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8"/>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A76FC8" w:rsidRDefault="00A76FC8" w:rsidP="00092367">
      <w:pPr>
        <w:rPr>
          <w:rFonts w:ascii="Calibri" w:hAnsi="Calibri" w:cs="Calibri"/>
          <w:sz w:val="22"/>
          <w:szCs w:val="22"/>
        </w:rPr>
      </w:pPr>
      <w:r>
        <w:rPr>
          <w:rFonts w:ascii="Calibri" w:hAnsi="Calibri" w:cs="Calibri"/>
          <w:sz w:val="22"/>
          <w:szCs w:val="22"/>
        </w:rPr>
        <w:t>For Retrofit, 1</w:t>
      </w:r>
      <w:r w:rsidRPr="00A76FC8">
        <w:rPr>
          <w:rFonts w:ascii="Calibri" w:hAnsi="Calibri" w:cs="Calibri"/>
          <w:sz w:val="22"/>
          <w:szCs w:val="22"/>
          <w:vertAlign w:val="superscript"/>
        </w:rPr>
        <w:t>st</w:t>
      </w:r>
      <w:r>
        <w:rPr>
          <w:rFonts w:ascii="Calibri" w:hAnsi="Calibri" w:cs="Calibri"/>
          <w:sz w:val="22"/>
          <w:szCs w:val="22"/>
        </w:rPr>
        <w:t xml:space="preserve"> baseline, the Gross Measure Cost is </w:t>
      </w:r>
      <w:r w:rsidR="00AF6312">
        <w:rPr>
          <w:rFonts w:ascii="Calibri" w:hAnsi="Calibri" w:cs="Calibri"/>
          <w:sz w:val="22"/>
          <w:szCs w:val="22"/>
        </w:rPr>
        <w:t xml:space="preserve">the Measure Case Cost as shown in </w:t>
      </w:r>
      <w:r w:rsidR="00AF6312">
        <w:rPr>
          <w:rFonts w:ascii="Calibri" w:hAnsi="Calibri" w:cs="Calibri"/>
          <w:sz w:val="22"/>
          <w:szCs w:val="22"/>
        </w:rPr>
        <w:fldChar w:fldCharType="begin"/>
      </w:r>
      <w:r w:rsidR="00AF6312">
        <w:rPr>
          <w:rFonts w:ascii="Calibri" w:hAnsi="Calibri" w:cs="Calibri"/>
          <w:sz w:val="22"/>
          <w:szCs w:val="22"/>
        </w:rPr>
        <w:instrText xml:space="preserve"> REF _Ref394994147 \h </w:instrText>
      </w:r>
      <w:r w:rsidR="00AF6312">
        <w:rPr>
          <w:rFonts w:ascii="Calibri" w:hAnsi="Calibri" w:cs="Calibri"/>
          <w:sz w:val="22"/>
          <w:szCs w:val="22"/>
        </w:rPr>
      </w:r>
      <w:r w:rsidR="00AF6312">
        <w:rPr>
          <w:rFonts w:ascii="Calibri" w:hAnsi="Calibri" w:cs="Calibri"/>
          <w:sz w:val="22"/>
          <w:szCs w:val="22"/>
        </w:rPr>
        <w:fldChar w:fldCharType="separate"/>
      </w:r>
      <w:r w:rsidR="00AF6312" w:rsidRPr="0035762B">
        <w:rPr>
          <w:rFonts w:ascii="Calibri" w:hAnsi="Calibri" w:cs="Calibri"/>
          <w:sz w:val="22"/>
          <w:szCs w:val="22"/>
        </w:rPr>
        <w:t xml:space="preserve">Table </w:t>
      </w:r>
      <w:r w:rsidR="00AF6312">
        <w:rPr>
          <w:rFonts w:ascii="Calibri" w:hAnsi="Calibri" w:cs="Calibri"/>
          <w:noProof/>
          <w:sz w:val="22"/>
          <w:szCs w:val="22"/>
        </w:rPr>
        <w:t>12</w:t>
      </w:r>
      <w:r w:rsidR="00AF6312">
        <w:rPr>
          <w:rFonts w:ascii="Calibri" w:hAnsi="Calibri" w:cs="Calibri"/>
          <w:sz w:val="22"/>
          <w:szCs w:val="22"/>
        </w:rPr>
        <w:fldChar w:fldCharType="end"/>
      </w:r>
      <w:r w:rsidR="00AF6312">
        <w:rPr>
          <w:rFonts w:ascii="Calibri" w:hAnsi="Calibri" w:cs="Calibri"/>
          <w:sz w:val="22"/>
          <w:szCs w:val="22"/>
        </w:rPr>
        <w:t>.</w:t>
      </w:r>
    </w:p>
    <w:p w:rsidR="00A76FC8" w:rsidRDefault="00A76FC8" w:rsidP="00092367">
      <w:pPr>
        <w:rPr>
          <w:rFonts w:ascii="Calibri" w:hAnsi="Calibri" w:cs="Calibri"/>
          <w:sz w:val="22"/>
          <w:szCs w:val="22"/>
        </w:rPr>
      </w:pPr>
    </w:p>
    <w:p w:rsidR="00092367" w:rsidRDefault="00092367" w:rsidP="00092367">
      <w:pPr>
        <w:rPr>
          <w:rFonts w:ascii="Calibri" w:hAnsi="Calibri" w:cs="Calibri"/>
          <w:sz w:val="22"/>
          <w:szCs w:val="22"/>
        </w:rPr>
      </w:pPr>
      <w:r>
        <w:rPr>
          <w:rFonts w:ascii="Calibri" w:hAnsi="Calibri" w:cs="Calibri"/>
          <w:sz w:val="22"/>
          <w:szCs w:val="22"/>
        </w:rPr>
        <w:t>For the</w:t>
      </w:r>
      <w:r w:rsidR="00AF6312">
        <w:rPr>
          <w:rFonts w:ascii="Calibri" w:hAnsi="Calibri" w:cs="Calibri"/>
          <w:sz w:val="22"/>
          <w:szCs w:val="22"/>
        </w:rPr>
        <w:t xml:space="preserve"> Retrofit 2</w:t>
      </w:r>
      <w:r w:rsidR="00AF6312" w:rsidRPr="00AF6312">
        <w:rPr>
          <w:rFonts w:ascii="Calibri" w:hAnsi="Calibri" w:cs="Calibri"/>
          <w:sz w:val="22"/>
          <w:szCs w:val="22"/>
          <w:vertAlign w:val="superscript"/>
        </w:rPr>
        <w:t>nd</w:t>
      </w:r>
      <w:r w:rsidR="00AF6312">
        <w:rPr>
          <w:rFonts w:ascii="Calibri" w:hAnsi="Calibri" w:cs="Calibri"/>
          <w:sz w:val="22"/>
          <w:szCs w:val="22"/>
        </w:rPr>
        <w:t xml:space="preserve"> Baseline and</w:t>
      </w:r>
      <w:r>
        <w:rPr>
          <w:rFonts w:ascii="Calibri" w:hAnsi="Calibri" w:cs="Calibri"/>
          <w:sz w:val="22"/>
          <w:szCs w:val="22"/>
        </w:rPr>
        <w:t xml:space="preserve"> ROB measures, the </w:t>
      </w:r>
      <w:r w:rsidRPr="00FD6892">
        <w:rPr>
          <w:rFonts w:ascii="Calibri" w:hAnsi="Calibri" w:cs="Calibri"/>
          <w:sz w:val="22"/>
          <w:szCs w:val="22"/>
        </w:rPr>
        <w:t xml:space="preserve">Gross Measure Cost is </w:t>
      </w:r>
      <w:r>
        <w:rPr>
          <w:rFonts w:ascii="Calibri" w:hAnsi="Calibri" w:cs="Calibri"/>
          <w:sz w:val="22"/>
          <w:szCs w:val="22"/>
        </w:rPr>
        <w:t>defined as follows:</w:t>
      </w:r>
    </w:p>
    <w:p w:rsidR="00AF6312" w:rsidRPr="00FD6892" w:rsidRDefault="00AF6312" w:rsidP="00092367">
      <w:pPr>
        <w:rPr>
          <w:rFonts w:ascii="Calibri" w:hAnsi="Calibri" w:cs="Calibri"/>
          <w:sz w:val="22"/>
          <w:szCs w:val="22"/>
        </w:rPr>
      </w:pPr>
    </w:p>
    <w:p w:rsidR="00092367" w:rsidRDefault="00092367" w:rsidP="00092367">
      <w:pPr>
        <w:rPr>
          <w:rFonts w:ascii="Calibri" w:hAnsi="Calibri" w:cs="Calibri"/>
          <w:color w:val="000000"/>
          <w:sz w:val="22"/>
          <w:szCs w:val="22"/>
        </w:rPr>
      </w:pPr>
      <w:r w:rsidRPr="0037121C">
        <w:rPr>
          <w:rFonts w:asciiTheme="minorHAnsi" w:hAnsiTheme="minorHAnsi" w:cstheme="minorHAnsi"/>
          <w:i/>
          <w:sz w:val="22"/>
          <w:szCs w:val="22"/>
        </w:rPr>
        <w:t xml:space="preserve">GMC </w:t>
      </w:r>
      <w:r w:rsidRPr="0037121C">
        <w:rPr>
          <w:rFonts w:asciiTheme="minorHAnsi" w:hAnsiTheme="minorHAnsi" w:cstheme="minorHAnsi"/>
          <w:i/>
          <w:sz w:val="22"/>
          <w:szCs w:val="22"/>
        </w:rPr>
        <w:tab/>
        <w:t>= Measure Equipment Cost – Base Case Equipment Cost</w:t>
      </w:r>
      <w:r w:rsidRPr="00FD6892">
        <w:rPr>
          <w:rFonts w:ascii="Calibri" w:hAnsi="Calibri" w:cs="Calibri"/>
          <w:color w:val="000000"/>
          <w:sz w:val="22"/>
          <w:szCs w:val="22"/>
        </w:rPr>
        <w:t xml:space="preserve"> </w:t>
      </w:r>
    </w:p>
    <w:p w:rsidR="00092367" w:rsidRDefault="00092367" w:rsidP="00092367">
      <w:pPr>
        <w:rPr>
          <w:rFonts w:ascii="Calibri" w:hAnsi="Calibri" w:cs="Calibri"/>
          <w:color w:val="000000"/>
          <w:sz w:val="22"/>
          <w:szCs w:val="22"/>
        </w:rPr>
      </w:pPr>
    </w:p>
    <w:p w:rsidR="00092367" w:rsidRDefault="00DD1787" w:rsidP="00092367">
      <w:pPr>
        <w:rPr>
          <w:rFonts w:ascii="Calibri" w:hAnsi="Calibri" w:cs="Calibri"/>
          <w:color w:val="000000"/>
          <w:sz w:val="22"/>
          <w:szCs w:val="22"/>
        </w:rPr>
      </w:pPr>
      <w:r>
        <w:rPr>
          <w:rFonts w:ascii="Calibri" w:hAnsi="Calibri" w:cs="Calibri"/>
          <w:color w:val="000000"/>
          <w:sz w:val="22"/>
          <w:szCs w:val="22"/>
        </w:rPr>
        <w:t xml:space="preserve">The GMC </w:t>
      </w:r>
      <w:r w:rsidR="0035762B">
        <w:rPr>
          <w:rFonts w:ascii="Calibri" w:hAnsi="Calibri" w:cs="Calibri"/>
          <w:color w:val="000000"/>
          <w:sz w:val="22"/>
          <w:szCs w:val="22"/>
        </w:rPr>
        <w:t xml:space="preserve">values are shown below in </w:t>
      </w:r>
      <w:r w:rsidR="0035762B">
        <w:rPr>
          <w:rFonts w:ascii="Calibri" w:hAnsi="Calibri" w:cs="Calibri"/>
          <w:color w:val="000000"/>
          <w:sz w:val="22"/>
          <w:szCs w:val="22"/>
        </w:rPr>
        <w:fldChar w:fldCharType="begin"/>
      </w:r>
      <w:r w:rsidR="0035762B">
        <w:rPr>
          <w:rFonts w:ascii="Calibri" w:hAnsi="Calibri" w:cs="Calibri"/>
          <w:color w:val="000000"/>
          <w:sz w:val="22"/>
          <w:szCs w:val="22"/>
        </w:rPr>
        <w:instrText xml:space="preserve"> REF _Ref394990747 \h </w:instrText>
      </w:r>
      <w:r w:rsidR="0035762B">
        <w:rPr>
          <w:rFonts w:ascii="Calibri" w:hAnsi="Calibri" w:cs="Calibri"/>
          <w:color w:val="000000"/>
          <w:sz w:val="22"/>
          <w:szCs w:val="22"/>
        </w:rPr>
      </w:r>
      <w:r w:rsidR="0035762B">
        <w:rPr>
          <w:rFonts w:ascii="Calibri" w:hAnsi="Calibri" w:cs="Calibri"/>
          <w:color w:val="000000"/>
          <w:sz w:val="22"/>
          <w:szCs w:val="22"/>
        </w:rPr>
        <w:fldChar w:fldCharType="separate"/>
      </w:r>
      <w:r w:rsidR="00AF6312" w:rsidRPr="0035762B">
        <w:rPr>
          <w:rFonts w:ascii="Calibri" w:hAnsi="Calibri" w:cs="Calibri"/>
          <w:sz w:val="22"/>
          <w:szCs w:val="22"/>
        </w:rPr>
        <w:t xml:space="preserve">Table </w:t>
      </w:r>
      <w:r w:rsidR="00AF6312">
        <w:rPr>
          <w:rFonts w:ascii="Calibri" w:hAnsi="Calibri" w:cs="Calibri"/>
          <w:noProof/>
          <w:sz w:val="22"/>
          <w:szCs w:val="22"/>
        </w:rPr>
        <w:t>13</w:t>
      </w:r>
      <w:r w:rsidR="0035762B">
        <w:rPr>
          <w:rFonts w:ascii="Calibri" w:hAnsi="Calibri" w:cs="Calibri"/>
          <w:color w:val="000000"/>
          <w:sz w:val="22"/>
          <w:szCs w:val="22"/>
        </w:rPr>
        <w:fldChar w:fldCharType="end"/>
      </w:r>
      <w:r w:rsidR="0035762B">
        <w:rPr>
          <w:rFonts w:ascii="Calibri" w:hAnsi="Calibri" w:cs="Calibri"/>
          <w:color w:val="000000"/>
          <w:sz w:val="22"/>
          <w:szCs w:val="22"/>
        </w:rPr>
        <w:t>.</w:t>
      </w:r>
    </w:p>
    <w:p w:rsidR="00984951" w:rsidRPr="00FD6892" w:rsidRDefault="00984951" w:rsidP="00984951">
      <w:pPr>
        <w:rPr>
          <w:rFonts w:ascii="Calibri" w:hAnsi="Calibri" w:cs="Calibri"/>
          <w:color w:val="000000"/>
          <w:sz w:val="22"/>
          <w:szCs w:val="22"/>
        </w:rPr>
      </w:pPr>
    </w:p>
    <w:p w:rsidR="00AF6312" w:rsidRPr="00984951" w:rsidRDefault="0035762B" w:rsidP="00AF6312">
      <w:pPr>
        <w:pStyle w:val="Caption"/>
        <w:jc w:val="center"/>
        <w:rPr>
          <w:rFonts w:ascii="Calibri" w:hAnsi="Calibri" w:cs="Calibri"/>
          <w:sz w:val="22"/>
          <w:szCs w:val="22"/>
        </w:rPr>
      </w:pPr>
      <w:bookmarkStart w:id="30" w:name="_Ref394990747"/>
      <w:r w:rsidRPr="0035762B">
        <w:rPr>
          <w:rFonts w:ascii="Calibri" w:hAnsi="Calibri" w:cs="Calibri"/>
          <w:sz w:val="22"/>
          <w:szCs w:val="22"/>
        </w:rPr>
        <w:t xml:space="preserve">Table </w:t>
      </w:r>
      <w:r w:rsidRPr="0035762B">
        <w:rPr>
          <w:rFonts w:ascii="Calibri" w:hAnsi="Calibri" w:cs="Calibri"/>
          <w:sz w:val="22"/>
          <w:szCs w:val="22"/>
        </w:rPr>
        <w:fldChar w:fldCharType="begin"/>
      </w:r>
      <w:r w:rsidRPr="0035762B">
        <w:rPr>
          <w:rFonts w:ascii="Calibri" w:hAnsi="Calibri" w:cs="Calibri"/>
          <w:sz w:val="22"/>
          <w:szCs w:val="22"/>
        </w:rPr>
        <w:instrText xml:space="preserve"> SEQ Table \* ARABIC </w:instrText>
      </w:r>
      <w:r w:rsidRPr="0035762B">
        <w:rPr>
          <w:rFonts w:ascii="Calibri" w:hAnsi="Calibri" w:cs="Calibri"/>
          <w:sz w:val="22"/>
          <w:szCs w:val="22"/>
        </w:rPr>
        <w:fldChar w:fldCharType="separate"/>
      </w:r>
      <w:r w:rsidR="00AF6312">
        <w:rPr>
          <w:rFonts w:ascii="Calibri" w:hAnsi="Calibri" w:cs="Calibri"/>
          <w:noProof/>
          <w:sz w:val="22"/>
          <w:szCs w:val="22"/>
        </w:rPr>
        <w:t>13</w:t>
      </w:r>
      <w:r w:rsidRPr="0035762B">
        <w:rPr>
          <w:rFonts w:ascii="Calibri" w:hAnsi="Calibri" w:cs="Calibri"/>
          <w:sz w:val="22"/>
          <w:szCs w:val="22"/>
        </w:rPr>
        <w:fldChar w:fldCharType="end"/>
      </w:r>
      <w:bookmarkEnd w:id="30"/>
      <w:r>
        <w:rPr>
          <w:rFonts w:ascii="Calibri" w:hAnsi="Calibri" w:cs="Calibri"/>
          <w:sz w:val="22"/>
          <w:szCs w:val="22"/>
        </w:rPr>
        <w:t xml:space="preserve"> </w:t>
      </w:r>
      <w:r w:rsidR="00984951">
        <w:rPr>
          <w:rFonts w:ascii="Calibri" w:hAnsi="Calibri" w:cs="Calibri"/>
          <w:sz w:val="22"/>
          <w:szCs w:val="22"/>
        </w:rPr>
        <w:t>Gross Measure Cost</w:t>
      </w:r>
    </w:p>
    <w:tbl>
      <w:tblPr>
        <w:tblStyle w:val="TableContemporary"/>
        <w:tblW w:w="4897" w:type="pct"/>
        <w:tblLayout w:type="fixed"/>
        <w:tblLook w:val="01E0" w:firstRow="1" w:lastRow="1" w:firstColumn="1" w:lastColumn="1" w:noHBand="0" w:noVBand="0"/>
      </w:tblPr>
      <w:tblGrid>
        <w:gridCol w:w="1106"/>
        <w:gridCol w:w="4856"/>
        <w:gridCol w:w="1169"/>
        <w:gridCol w:w="1169"/>
        <w:gridCol w:w="1079"/>
      </w:tblGrid>
      <w:tr w:rsidR="00AF6312" w:rsidRPr="00297415" w:rsidTr="001C1CE4">
        <w:trPr>
          <w:cnfStyle w:val="100000000000" w:firstRow="1" w:lastRow="0" w:firstColumn="0" w:lastColumn="0" w:oddVBand="0" w:evenVBand="0" w:oddHBand="0" w:evenHBand="0" w:firstRowFirstColumn="0" w:firstRowLastColumn="0" w:lastRowFirstColumn="0" w:lastRowLastColumn="0"/>
          <w:trHeight w:val="765"/>
        </w:trPr>
        <w:tc>
          <w:tcPr>
            <w:tcW w:w="590" w:type="pct"/>
          </w:tcPr>
          <w:p w:rsidR="00AF6312" w:rsidRPr="00297415" w:rsidRDefault="00AF6312" w:rsidP="007E4337">
            <w:pPr>
              <w:jc w:val="center"/>
              <w:rPr>
                <w:rFonts w:ascii="Calibri" w:hAnsi="Calibri" w:cs="Calibri"/>
                <w:bCs w:val="0"/>
                <w:sz w:val="20"/>
                <w:szCs w:val="20"/>
              </w:rPr>
            </w:pPr>
            <w:r w:rsidRPr="00297415">
              <w:rPr>
                <w:rFonts w:ascii="Calibri" w:hAnsi="Calibri" w:cs="Calibri"/>
                <w:bCs w:val="0"/>
                <w:sz w:val="20"/>
                <w:szCs w:val="20"/>
              </w:rPr>
              <w:t>Solution Code</w:t>
            </w:r>
          </w:p>
        </w:tc>
        <w:tc>
          <w:tcPr>
            <w:tcW w:w="2589" w:type="pct"/>
          </w:tcPr>
          <w:p w:rsidR="00AF6312" w:rsidRPr="00297415" w:rsidRDefault="00AF6312" w:rsidP="007E4337">
            <w:pPr>
              <w:jc w:val="center"/>
              <w:rPr>
                <w:rFonts w:ascii="Calibri" w:hAnsi="Calibri" w:cs="Calibri"/>
                <w:bCs w:val="0"/>
                <w:sz w:val="20"/>
                <w:szCs w:val="20"/>
              </w:rPr>
            </w:pPr>
            <w:r w:rsidRPr="00297415">
              <w:rPr>
                <w:rFonts w:ascii="Calibri" w:hAnsi="Calibri" w:cs="Calibri"/>
                <w:bCs w:val="0"/>
                <w:sz w:val="20"/>
                <w:szCs w:val="20"/>
              </w:rPr>
              <w:t>Measure Name</w:t>
            </w:r>
          </w:p>
        </w:tc>
        <w:tc>
          <w:tcPr>
            <w:tcW w:w="623" w:type="pct"/>
            <w:noWrap/>
          </w:tcPr>
          <w:p w:rsidR="00AF6312" w:rsidRPr="00297415" w:rsidRDefault="00AF6312" w:rsidP="007E4337">
            <w:pPr>
              <w:jc w:val="center"/>
              <w:rPr>
                <w:rFonts w:ascii="Calibri" w:hAnsi="Calibri" w:cs="Calibri"/>
                <w:bCs w:val="0"/>
                <w:sz w:val="20"/>
                <w:szCs w:val="20"/>
              </w:rPr>
            </w:pPr>
            <w:r>
              <w:rPr>
                <w:rFonts w:ascii="Calibri" w:hAnsi="Calibri" w:cs="Calibri"/>
                <w:bCs w:val="0"/>
                <w:sz w:val="20"/>
                <w:szCs w:val="20"/>
              </w:rPr>
              <w:t>Base</w:t>
            </w:r>
          </w:p>
          <w:p w:rsidR="00AF6312" w:rsidRPr="00297415" w:rsidRDefault="00AF6312" w:rsidP="007E4337">
            <w:pPr>
              <w:jc w:val="center"/>
              <w:rPr>
                <w:rFonts w:ascii="Calibri" w:hAnsi="Calibri" w:cs="Calibri"/>
                <w:bCs w:val="0"/>
                <w:sz w:val="20"/>
                <w:szCs w:val="20"/>
              </w:rPr>
            </w:pPr>
            <w:r w:rsidRPr="00297415">
              <w:rPr>
                <w:rFonts w:ascii="Calibri" w:hAnsi="Calibri" w:cs="Calibri"/>
                <w:bCs w:val="0"/>
                <w:sz w:val="20"/>
                <w:szCs w:val="20"/>
              </w:rPr>
              <w:t>Equipment</w:t>
            </w:r>
          </w:p>
          <w:p w:rsidR="00AF6312" w:rsidRPr="00297415" w:rsidRDefault="00AF6312" w:rsidP="007E4337">
            <w:pPr>
              <w:jc w:val="center"/>
              <w:rPr>
                <w:rFonts w:ascii="Calibri" w:hAnsi="Calibri" w:cs="Calibri"/>
                <w:sz w:val="20"/>
                <w:szCs w:val="20"/>
              </w:rPr>
            </w:pPr>
            <w:r w:rsidRPr="00297415">
              <w:rPr>
                <w:rFonts w:ascii="Calibri" w:hAnsi="Calibri" w:cs="Calibri"/>
                <w:bCs w:val="0"/>
                <w:sz w:val="20"/>
                <w:szCs w:val="20"/>
              </w:rPr>
              <w:t>Cost</w:t>
            </w:r>
          </w:p>
        </w:tc>
        <w:tc>
          <w:tcPr>
            <w:tcW w:w="623" w:type="pct"/>
          </w:tcPr>
          <w:p w:rsidR="00AF6312" w:rsidRPr="00297415" w:rsidRDefault="00AF6312" w:rsidP="007E4337">
            <w:pPr>
              <w:jc w:val="center"/>
              <w:rPr>
                <w:rFonts w:ascii="Calibri" w:hAnsi="Calibri" w:cs="Calibri"/>
                <w:bCs w:val="0"/>
                <w:sz w:val="20"/>
                <w:szCs w:val="20"/>
              </w:rPr>
            </w:pPr>
            <w:r>
              <w:rPr>
                <w:rFonts w:ascii="Calibri" w:hAnsi="Calibri" w:cs="Calibri"/>
                <w:bCs w:val="0"/>
                <w:sz w:val="20"/>
                <w:szCs w:val="20"/>
              </w:rPr>
              <w:t>Measure Equipment Cost</w:t>
            </w:r>
          </w:p>
        </w:tc>
        <w:tc>
          <w:tcPr>
            <w:tcW w:w="575" w:type="pct"/>
          </w:tcPr>
          <w:p w:rsidR="00AF6312" w:rsidRPr="00297415" w:rsidRDefault="00AF6312" w:rsidP="007E4337">
            <w:pPr>
              <w:jc w:val="center"/>
              <w:rPr>
                <w:rFonts w:ascii="Calibri" w:hAnsi="Calibri" w:cs="Calibri"/>
                <w:bCs w:val="0"/>
                <w:sz w:val="20"/>
                <w:szCs w:val="20"/>
              </w:rPr>
            </w:pPr>
            <w:r>
              <w:rPr>
                <w:rFonts w:ascii="Calibri" w:hAnsi="Calibri" w:cs="Calibri"/>
                <w:bCs w:val="0"/>
                <w:sz w:val="20"/>
                <w:szCs w:val="20"/>
              </w:rPr>
              <w:t>Gross Measure Cost</w:t>
            </w:r>
          </w:p>
        </w:tc>
      </w:tr>
      <w:tr w:rsidR="00AF6312"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AF6312" w:rsidRPr="000A11F9" w:rsidRDefault="00AF6312" w:rsidP="007E4337">
            <w:pPr>
              <w:jc w:val="center"/>
              <w:rPr>
                <w:rFonts w:ascii="Calibri" w:hAnsi="Calibri" w:cs="Calibri"/>
                <w:sz w:val="20"/>
                <w:szCs w:val="20"/>
              </w:rPr>
            </w:pPr>
            <w:r>
              <w:rPr>
                <w:rFonts w:ascii="Calibri" w:hAnsi="Calibri" w:cs="Calibri"/>
                <w:color w:val="000000"/>
                <w:sz w:val="20"/>
                <w:szCs w:val="20"/>
              </w:rPr>
              <w:t>LT-17083</w:t>
            </w:r>
          </w:p>
        </w:tc>
        <w:tc>
          <w:tcPr>
            <w:tcW w:w="2589" w:type="pct"/>
          </w:tcPr>
          <w:p w:rsidR="00AF6312" w:rsidRPr="000A11F9" w:rsidRDefault="00AF6312" w:rsidP="007E4337">
            <w:pPr>
              <w:rPr>
                <w:rFonts w:ascii="Calibri" w:hAnsi="Calibri" w:cs="Calibri"/>
                <w:sz w:val="20"/>
                <w:szCs w:val="20"/>
              </w:rPr>
            </w:pPr>
            <w:r>
              <w:rPr>
                <w:rFonts w:ascii="Calibri" w:hAnsi="Calibri" w:cs="Calibri"/>
                <w:color w:val="000000"/>
                <w:sz w:val="20"/>
                <w:szCs w:val="20"/>
              </w:rPr>
              <w:t>Up to 70 Watt Interior Fixture CFL replacing less than 100 Watt lamp base case</w:t>
            </w:r>
          </w:p>
        </w:tc>
        <w:tc>
          <w:tcPr>
            <w:tcW w:w="623" w:type="pct"/>
            <w:noWrap/>
            <w:vAlign w:val="center"/>
          </w:tcPr>
          <w:p w:rsidR="00AF6312" w:rsidRPr="00AF6312" w:rsidRDefault="00AF6312" w:rsidP="00AF6312">
            <w:pPr>
              <w:jc w:val="center"/>
              <w:rPr>
                <w:rFonts w:asciiTheme="minorHAnsi" w:hAnsiTheme="minorHAnsi"/>
                <w:color w:val="000000"/>
                <w:sz w:val="20"/>
                <w:szCs w:val="20"/>
              </w:rPr>
            </w:pPr>
            <w:r w:rsidRPr="00AF6312">
              <w:rPr>
                <w:rFonts w:asciiTheme="minorHAnsi" w:hAnsiTheme="minorHAnsi"/>
                <w:color w:val="000000"/>
                <w:sz w:val="20"/>
                <w:szCs w:val="20"/>
              </w:rPr>
              <w:t>$127.35</w:t>
            </w:r>
          </w:p>
        </w:tc>
        <w:tc>
          <w:tcPr>
            <w:tcW w:w="623" w:type="pct"/>
            <w:vAlign w:val="center"/>
          </w:tcPr>
          <w:p w:rsidR="00AF6312" w:rsidRPr="00AF6312" w:rsidRDefault="00AF6312" w:rsidP="00AF6312">
            <w:pPr>
              <w:jc w:val="center"/>
              <w:rPr>
                <w:rFonts w:asciiTheme="minorHAnsi" w:hAnsiTheme="minorHAnsi"/>
                <w:color w:val="000000"/>
                <w:sz w:val="20"/>
                <w:szCs w:val="20"/>
              </w:rPr>
            </w:pPr>
            <w:r w:rsidRPr="00AF6312">
              <w:rPr>
                <w:rFonts w:asciiTheme="minorHAnsi" w:hAnsiTheme="minorHAnsi"/>
                <w:color w:val="000000"/>
                <w:sz w:val="20"/>
                <w:szCs w:val="20"/>
              </w:rPr>
              <w:t>$111.00</w:t>
            </w:r>
          </w:p>
        </w:tc>
        <w:tc>
          <w:tcPr>
            <w:tcW w:w="575" w:type="pct"/>
            <w:vAlign w:val="center"/>
          </w:tcPr>
          <w:p w:rsidR="00AF6312" w:rsidRPr="00AF6312" w:rsidRDefault="00AF6312" w:rsidP="00AF6312">
            <w:pPr>
              <w:jc w:val="center"/>
              <w:rPr>
                <w:rFonts w:asciiTheme="minorHAnsi" w:hAnsiTheme="minorHAnsi"/>
                <w:color w:val="000000"/>
                <w:sz w:val="20"/>
                <w:szCs w:val="20"/>
              </w:rPr>
            </w:pPr>
            <w:r w:rsidRPr="00AF6312">
              <w:rPr>
                <w:rFonts w:asciiTheme="minorHAnsi" w:hAnsiTheme="minorHAnsi"/>
                <w:color w:val="000000"/>
                <w:sz w:val="20"/>
                <w:szCs w:val="20"/>
              </w:rPr>
              <w:t>$16.35</w:t>
            </w:r>
          </w:p>
        </w:tc>
      </w:tr>
      <w:tr w:rsidR="00AF6312"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AF6312" w:rsidRPr="000A11F9" w:rsidRDefault="00AF6312" w:rsidP="007E4337">
            <w:pPr>
              <w:jc w:val="center"/>
              <w:rPr>
                <w:rFonts w:ascii="Calibri" w:hAnsi="Calibri" w:cs="Calibri"/>
                <w:sz w:val="20"/>
                <w:szCs w:val="20"/>
              </w:rPr>
            </w:pPr>
            <w:r>
              <w:rPr>
                <w:rFonts w:ascii="Calibri" w:hAnsi="Calibri" w:cs="Calibri"/>
                <w:color w:val="000000"/>
                <w:sz w:val="20"/>
                <w:szCs w:val="20"/>
              </w:rPr>
              <w:t>LT-83701</w:t>
            </w:r>
          </w:p>
        </w:tc>
        <w:tc>
          <w:tcPr>
            <w:tcW w:w="2589" w:type="pct"/>
          </w:tcPr>
          <w:p w:rsidR="00AF6312" w:rsidRPr="000A11F9" w:rsidRDefault="00AF6312" w:rsidP="007E4337">
            <w:pPr>
              <w:rPr>
                <w:rFonts w:ascii="Calibri" w:hAnsi="Calibri" w:cs="Calibri"/>
                <w:sz w:val="20"/>
                <w:szCs w:val="20"/>
              </w:rPr>
            </w:pPr>
            <w:r>
              <w:rPr>
                <w:rFonts w:ascii="Calibri" w:hAnsi="Calibri" w:cs="Calibri"/>
                <w:color w:val="000000"/>
                <w:sz w:val="20"/>
                <w:szCs w:val="20"/>
              </w:rPr>
              <w:t>Up to 128 Watt Interior Fixture CFL replacing 101 - 175 Watt lamp base case</w:t>
            </w:r>
          </w:p>
        </w:tc>
        <w:tc>
          <w:tcPr>
            <w:tcW w:w="623" w:type="pct"/>
            <w:noWrap/>
            <w:vAlign w:val="center"/>
          </w:tcPr>
          <w:p w:rsidR="00AF6312" w:rsidRPr="00AF6312" w:rsidRDefault="00AF6312" w:rsidP="00AF6312">
            <w:pPr>
              <w:jc w:val="center"/>
              <w:rPr>
                <w:rFonts w:asciiTheme="minorHAnsi" w:hAnsiTheme="minorHAnsi"/>
                <w:color w:val="000000"/>
                <w:sz w:val="20"/>
                <w:szCs w:val="20"/>
              </w:rPr>
            </w:pPr>
            <w:r w:rsidRPr="00AF6312">
              <w:rPr>
                <w:rFonts w:asciiTheme="minorHAnsi" w:hAnsiTheme="minorHAnsi"/>
                <w:color w:val="000000"/>
                <w:sz w:val="20"/>
                <w:szCs w:val="20"/>
              </w:rPr>
              <w:t>$137.37</w:t>
            </w:r>
          </w:p>
        </w:tc>
        <w:tc>
          <w:tcPr>
            <w:tcW w:w="623" w:type="pct"/>
            <w:vAlign w:val="center"/>
          </w:tcPr>
          <w:p w:rsidR="00AF6312" w:rsidRPr="00AF6312" w:rsidRDefault="00AF6312" w:rsidP="00AF6312">
            <w:pPr>
              <w:jc w:val="center"/>
              <w:rPr>
                <w:rFonts w:asciiTheme="minorHAnsi" w:hAnsiTheme="minorHAnsi"/>
                <w:color w:val="000000"/>
                <w:sz w:val="20"/>
                <w:szCs w:val="20"/>
              </w:rPr>
            </w:pPr>
            <w:r w:rsidRPr="00AF6312">
              <w:rPr>
                <w:rFonts w:asciiTheme="minorHAnsi" w:hAnsiTheme="minorHAnsi"/>
                <w:color w:val="000000"/>
                <w:sz w:val="20"/>
                <w:szCs w:val="20"/>
              </w:rPr>
              <w:t>$310.00</w:t>
            </w:r>
          </w:p>
        </w:tc>
        <w:tc>
          <w:tcPr>
            <w:tcW w:w="575" w:type="pct"/>
            <w:vAlign w:val="center"/>
          </w:tcPr>
          <w:p w:rsidR="00AF6312" w:rsidRPr="00AF6312" w:rsidRDefault="00AF6312" w:rsidP="00AF6312">
            <w:pPr>
              <w:jc w:val="center"/>
              <w:rPr>
                <w:rFonts w:asciiTheme="minorHAnsi" w:hAnsiTheme="minorHAnsi"/>
                <w:color w:val="000000"/>
                <w:sz w:val="20"/>
                <w:szCs w:val="20"/>
              </w:rPr>
            </w:pPr>
            <w:r w:rsidRPr="00AF6312">
              <w:rPr>
                <w:rFonts w:asciiTheme="minorHAnsi" w:hAnsiTheme="minorHAnsi"/>
                <w:color w:val="000000"/>
                <w:sz w:val="20"/>
                <w:szCs w:val="20"/>
              </w:rPr>
              <w:t>-$172.63</w:t>
            </w:r>
          </w:p>
        </w:tc>
      </w:tr>
      <w:tr w:rsidR="00AF6312"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AF6312" w:rsidRPr="000A11F9" w:rsidRDefault="00AF6312" w:rsidP="007E4337">
            <w:pPr>
              <w:jc w:val="center"/>
              <w:rPr>
                <w:rFonts w:ascii="Calibri" w:hAnsi="Calibri" w:cs="Calibri"/>
                <w:sz w:val="20"/>
                <w:szCs w:val="20"/>
              </w:rPr>
            </w:pPr>
            <w:r>
              <w:rPr>
                <w:rFonts w:ascii="Calibri" w:hAnsi="Calibri" w:cs="Calibri"/>
                <w:color w:val="000000"/>
                <w:sz w:val="20"/>
                <w:szCs w:val="20"/>
              </w:rPr>
              <w:t>LT-33489</w:t>
            </w:r>
          </w:p>
        </w:tc>
        <w:tc>
          <w:tcPr>
            <w:tcW w:w="2589" w:type="pct"/>
          </w:tcPr>
          <w:p w:rsidR="00AF6312" w:rsidRPr="000A11F9" w:rsidRDefault="00AF6312" w:rsidP="007E4337">
            <w:pPr>
              <w:rPr>
                <w:rFonts w:ascii="Calibri" w:hAnsi="Calibri" w:cs="Calibri"/>
                <w:sz w:val="20"/>
                <w:szCs w:val="20"/>
              </w:rPr>
            </w:pPr>
            <w:r>
              <w:rPr>
                <w:rFonts w:ascii="Calibri" w:hAnsi="Calibri" w:cs="Calibri"/>
                <w:color w:val="000000"/>
                <w:sz w:val="20"/>
                <w:szCs w:val="20"/>
              </w:rPr>
              <w:t>Up to 192 Watt Interior Fixture CFL replacing 176 - 399 Watt lamp base case</w:t>
            </w:r>
          </w:p>
        </w:tc>
        <w:tc>
          <w:tcPr>
            <w:tcW w:w="623" w:type="pct"/>
            <w:noWrap/>
            <w:vAlign w:val="center"/>
          </w:tcPr>
          <w:p w:rsidR="00AF6312" w:rsidRPr="00AF6312" w:rsidRDefault="00AF6312" w:rsidP="00AF6312">
            <w:pPr>
              <w:jc w:val="center"/>
              <w:rPr>
                <w:rFonts w:asciiTheme="minorHAnsi" w:hAnsiTheme="minorHAnsi"/>
                <w:color w:val="000000"/>
                <w:sz w:val="20"/>
                <w:szCs w:val="20"/>
              </w:rPr>
            </w:pPr>
            <w:r w:rsidRPr="00AF6312">
              <w:rPr>
                <w:rFonts w:asciiTheme="minorHAnsi" w:hAnsiTheme="minorHAnsi"/>
                <w:color w:val="000000"/>
                <w:sz w:val="20"/>
                <w:szCs w:val="20"/>
              </w:rPr>
              <w:t>$152.84</w:t>
            </w:r>
          </w:p>
        </w:tc>
        <w:tc>
          <w:tcPr>
            <w:tcW w:w="623" w:type="pct"/>
            <w:vAlign w:val="center"/>
          </w:tcPr>
          <w:p w:rsidR="00AF6312" w:rsidRPr="00AF6312" w:rsidRDefault="00AF6312" w:rsidP="00AF6312">
            <w:pPr>
              <w:jc w:val="center"/>
              <w:rPr>
                <w:rFonts w:asciiTheme="minorHAnsi" w:hAnsiTheme="minorHAnsi"/>
                <w:color w:val="000000"/>
                <w:sz w:val="20"/>
                <w:szCs w:val="20"/>
              </w:rPr>
            </w:pPr>
            <w:r w:rsidRPr="00AF6312">
              <w:rPr>
                <w:rFonts w:asciiTheme="minorHAnsi" w:hAnsiTheme="minorHAnsi"/>
                <w:color w:val="000000"/>
                <w:sz w:val="20"/>
                <w:szCs w:val="20"/>
              </w:rPr>
              <w:t>$310.00</w:t>
            </w:r>
          </w:p>
        </w:tc>
        <w:tc>
          <w:tcPr>
            <w:tcW w:w="575" w:type="pct"/>
            <w:vAlign w:val="center"/>
          </w:tcPr>
          <w:p w:rsidR="00AF6312" w:rsidRPr="00AF6312" w:rsidRDefault="00AF6312" w:rsidP="00AF6312">
            <w:pPr>
              <w:jc w:val="center"/>
              <w:rPr>
                <w:rFonts w:asciiTheme="minorHAnsi" w:hAnsiTheme="minorHAnsi"/>
                <w:color w:val="000000"/>
                <w:sz w:val="20"/>
                <w:szCs w:val="20"/>
              </w:rPr>
            </w:pPr>
            <w:r w:rsidRPr="00AF6312">
              <w:rPr>
                <w:rFonts w:asciiTheme="minorHAnsi" w:hAnsiTheme="minorHAnsi"/>
                <w:color w:val="000000"/>
                <w:sz w:val="20"/>
                <w:szCs w:val="20"/>
              </w:rPr>
              <w:t>-$157.16</w:t>
            </w:r>
          </w:p>
        </w:tc>
      </w:tr>
      <w:tr w:rsidR="00AF6312"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AF6312" w:rsidRPr="000A11F9" w:rsidRDefault="00AF6312" w:rsidP="007E4337">
            <w:pPr>
              <w:jc w:val="center"/>
              <w:rPr>
                <w:rFonts w:ascii="Calibri" w:hAnsi="Calibri" w:cs="Calibri"/>
                <w:sz w:val="20"/>
                <w:szCs w:val="20"/>
              </w:rPr>
            </w:pPr>
            <w:r>
              <w:rPr>
                <w:rFonts w:ascii="Calibri" w:hAnsi="Calibri" w:cs="Calibri"/>
                <w:color w:val="000000"/>
                <w:sz w:val="20"/>
                <w:szCs w:val="20"/>
              </w:rPr>
              <w:t>LT-26133</w:t>
            </w:r>
          </w:p>
        </w:tc>
        <w:tc>
          <w:tcPr>
            <w:tcW w:w="2589" w:type="pct"/>
          </w:tcPr>
          <w:p w:rsidR="00AF6312" w:rsidRPr="000A11F9" w:rsidRDefault="00AF6312" w:rsidP="007E4337">
            <w:pPr>
              <w:rPr>
                <w:rFonts w:ascii="Calibri" w:hAnsi="Calibri" w:cs="Calibri"/>
                <w:sz w:val="20"/>
                <w:szCs w:val="20"/>
              </w:rPr>
            </w:pPr>
            <w:r>
              <w:rPr>
                <w:rFonts w:ascii="Calibri" w:hAnsi="Calibri" w:cs="Calibri"/>
                <w:color w:val="000000"/>
                <w:sz w:val="20"/>
                <w:szCs w:val="20"/>
              </w:rPr>
              <w:t>Up to 244 Watt (Tier 1) Interior Fixture CFL replacing greater than 400 Watt lamp base case</w:t>
            </w:r>
          </w:p>
        </w:tc>
        <w:tc>
          <w:tcPr>
            <w:tcW w:w="623" w:type="pct"/>
            <w:noWrap/>
            <w:vAlign w:val="center"/>
          </w:tcPr>
          <w:p w:rsidR="00AF6312" w:rsidRPr="00AF6312" w:rsidRDefault="00AF6312" w:rsidP="00AF6312">
            <w:pPr>
              <w:jc w:val="center"/>
              <w:rPr>
                <w:rFonts w:asciiTheme="minorHAnsi" w:hAnsiTheme="minorHAnsi"/>
                <w:color w:val="000000"/>
                <w:sz w:val="20"/>
                <w:szCs w:val="20"/>
              </w:rPr>
            </w:pPr>
            <w:r w:rsidRPr="00AF6312">
              <w:rPr>
                <w:rFonts w:asciiTheme="minorHAnsi" w:hAnsiTheme="minorHAnsi"/>
                <w:color w:val="000000"/>
                <w:sz w:val="20"/>
                <w:szCs w:val="20"/>
              </w:rPr>
              <w:t>$164.40</w:t>
            </w:r>
          </w:p>
        </w:tc>
        <w:tc>
          <w:tcPr>
            <w:tcW w:w="623" w:type="pct"/>
            <w:vAlign w:val="center"/>
          </w:tcPr>
          <w:p w:rsidR="00AF6312" w:rsidRPr="00AF6312" w:rsidRDefault="00AF6312" w:rsidP="00AF6312">
            <w:pPr>
              <w:jc w:val="center"/>
              <w:rPr>
                <w:rFonts w:asciiTheme="minorHAnsi" w:hAnsiTheme="minorHAnsi"/>
                <w:color w:val="000000"/>
                <w:sz w:val="20"/>
                <w:szCs w:val="20"/>
              </w:rPr>
            </w:pPr>
            <w:r w:rsidRPr="00AF6312">
              <w:rPr>
                <w:rFonts w:asciiTheme="minorHAnsi" w:hAnsiTheme="minorHAnsi"/>
                <w:color w:val="000000"/>
                <w:sz w:val="20"/>
                <w:szCs w:val="20"/>
              </w:rPr>
              <w:t>$225.00</w:t>
            </w:r>
          </w:p>
        </w:tc>
        <w:tc>
          <w:tcPr>
            <w:tcW w:w="575" w:type="pct"/>
            <w:vAlign w:val="center"/>
          </w:tcPr>
          <w:p w:rsidR="00AF6312" w:rsidRPr="00AF6312" w:rsidRDefault="00AF6312" w:rsidP="00AF6312">
            <w:pPr>
              <w:jc w:val="center"/>
              <w:rPr>
                <w:rFonts w:asciiTheme="minorHAnsi" w:hAnsiTheme="minorHAnsi"/>
                <w:color w:val="000000"/>
                <w:sz w:val="20"/>
                <w:szCs w:val="20"/>
              </w:rPr>
            </w:pPr>
            <w:r w:rsidRPr="00AF6312">
              <w:rPr>
                <w:rFonts w:asciiTheme="minorHAnsi" w:hAnsiTheme="minorHAnsi"/>
                <w:color w:val="000000"/>
                <w:sz w:val="20"/>
                <w:szCs w:val="20"/>
              </w:rPr>
              <w:t>-$60.60</w:t>
            </w:r>
          </w:p>
        </w:tc>
      </w:tr>
      <w:tr w:rsidR="00AF6312"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AF6312" w:rsidRPr="000A11F9" w:rsidRDefault="00AF6312" w:rsidP="007E4337">
            <w:pPr>
              <w:jc w:val="center"/>
              <w:rPr>
                <w:rFonts w:ascii="Calibri" w:hAnsi="Calibri" w:cs="Calibri"/>
                <w:sz w:val="20"/>
                <w:szCs w:val="20"/>
              </w:rPr>
            </w:pPr>
            <w:r>
              <w:rPr>
                <w:rFonts w:ascii="Calibri" w:hAnsi="Calibri" w:cs="Calibri"/>
                <w:color w:val="000000"/>
                <w:sz w:val="20"/>
                <w:szCs w:val="20"/>
              </w:rPr>
              <w:t>LT-84901</w:t>
            </w:r>
          </w:p>
        </w:tc>
        <w:tc>
          <w:tcPr>
            <w:tcW w:w="2589" w:type="pct"/>
          </w:tcPr>
          <w:p w:rsidR="00AF6312" w:rsidRPr="000A11F9" w:rsidRDefault="00AF6312" w:rsidP="007E4337">
            <w:pPr>
              <w:rPr>
                <w:rFonts w:ascii="Calibri" w:hAnsi="Calibri" w:cs="Calibri"/>
                <w:sz w:val="20"/>
                <w:szCs w:val="20"/>
              </w:rPr>
            </w:pPr>
            <w:r>
              <w:rPr>
                <w:rFonts w:ascii="Calibri" w:hAnsi="Calibri" w:cs="Calibri"/>
                <w:color w:val="000000"/>
                <w:sz w:val="20"/>
                <w:szCs w:val="20"/>
              </w:rPr>
              <w:t>Up to 360 Watt (Tier 2) Interior Fixture CFL replacing greater than 400 Watt lamp base case</w:t>
            </w:r>
          </w:p>
        </w:tc>
        <w:tc>
          <w:tcPr>
            <w:tcW w:w="623" w:type="pct"/>
            <w:noWrap/>
            <w:vAlign w:val="center"/>
          </w:tcPr>
          <w:p w:rsidR="00AF6312" w:rsidRPr="00AF6312" w:rsidRDefault="00AF6312" w:rsidP="00AF6312">
            <w:pPr>
              <w:jc w:val="center"/>
              <w:rPr>
                <w:rFonts w:asciiTheme="minorHAnsi" w:hAnsiTheme="minorHAnsi"/>
                <w:color w:val="000000"/>
                <w:sz w:val="20"/>
                <w:szCs w:val="20"/>
              </w:rPr>
            </w:pPr>
            <w:r w:rsidRPr="00AF6312">
              <w:rPr>
                <w:rFonts w:asciiTheme="minorHAnsi" w:hAnsiTheme="minorHAnsi"/>
                <w:color w:val="000000"/>
                <w:sz w:val="20"/>
                <w:szCs w:val="20"/>
              </w:rPr>
              <w:t>$164.40</w:t>
            </w:r>
          </w:p>
        </w:tc>
        <w:tc>
          <w:tcPr>
            <w:tcW w:w="623" w:type="pct"/>
            <w:vAlign w:val="center"/>
          </w:tcPr>
          <w:p w:rsidR="00AF6312" w:rsidRPr="00AF6312" w:rsidRDefault="00AF6312" w:rsidP="00AF6312">
            <w:pPr>
              <w:jc w:val="center"/>
              <w:rPr>
                <w:rFonts w:asciiTheme="minorHAnsi" w:hAnsiTheme="minorHAnsi"/>
                <w:color w:val="000000"/>
                <w:sz w:val="20"/>
                <w:szCs w:val="20"/>
              </w:rPr>
            </w:pPr>
            <w:r w:rsidRPr="00AF6312">
              <w:rPr>
                <w:rFonts w:asciiTheme="minorHAnsi" w:hAnsiTheme="minorHAnsi"/>
                <w:color w:val="000000"/>
                <w:sz w:val="20"/>
                <w:szCs w:val="20"/>
              </w:rPr>
              <w:t>$385.00</w:t>
            </w:r>
          </w:p>
        </w:tc>
        <w:tc>
          <w:tcPr>
            <w:tcW w:w="575" w:type="pct"/>
            <w:vAlign w:val="center"/>
          </w:tcPr>
          <w:p w:rsidR="00AF6312" w:rsidRPr="00AF6312" w:rsidRDefault="00AF6312" w:rsidP="00AF6312">
            <w:pPr>
              <w:jc w:val="center"/>
              <w:rPr>
                <w:rFonts w:asciiTheme="minorHAnsi" w:hAnsiTheme="minorHAnsi"/>
                <w:color w:val="000000"/>
                <w:sz w:val="20"/>
                <w:szCs w:val="20"/>
              </w:rPr>
            </w:pPr>
            <w:r w:rsidRPr="00AF6312">
              <w:rPr>
                <w:rFonts w:asciiTheme="minorHAnsi" w:hAnsiTheme="minorHAnsi"/>
                <w:color w:val="000000"/>
                <w:sz w:val="20"/>
                <w:szCs w:val="20"/>
              </w:rPr>
              <w:t>-$220.60</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LT-39256</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16 Watt Interior Fixture (Common Area) CFL replacing Incandescent Average Watts = 56.48</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$19.22</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$21.52</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-$2.30</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LT-79504</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16 Watt Interior Fixture (Dwelling Area) CFL replacing Incandescent Average Watts = 56.48</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$22.19</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$24.81</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-$2.62</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LT-93432</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22 Watt Interior Fixture (Common Area) CFL replacing Incandescent Average Watts = 77.66</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$22.69</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$25.36</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-$2.68</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LT-19423</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22 Watt Interior Fixture (Dwelling Area) CFL replacing Incandescent Average Watts = 77.66</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$23.67</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$26.46</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-$2.79</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LT-50765</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23 Watt Interior Fixture (Common Area) CFL replacing Incandescent Average Watts = 81.19</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$23.80</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$27.01</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-$3.21</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LT-68432</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23 Watt Interior Fixture (Dwelling Area) CFL replacing Incandescent Average Watts = 81.19</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$24.66</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$27.56</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-$2.89</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LT-40994</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25 Watt Interior Fixture (Common Area) CFL replacing Incandescent Average Watts = 88.25</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$26.15</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$29.20</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-$3.05</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LT-80989</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25 Watt Interior Fixture (Dwelling Area) CFL replacing Incandescent Average Watts = 88.25</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$27.14</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$30.30</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-$3.16</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LT-89854</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26 Watt Interior Fixture (Common Area) CFL replacing Incandescent Average Watts = 91.78</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$29.12</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$32.49</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-$3.38</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LT-97876</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26 Watt Interior Fixture (Dwelling Area) CFL replacing Incandescent Average Watts = 91.78</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$30.60</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$34.14</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-$3.54</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LT-24867</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27 Watt Interior Fixture (Common Area) CFL replacing Incandescent Average Watts = 95.31</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$31.10</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$34.69</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-$3.59</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lastRenderedPageBreak/>
              <w:t>LT-39075</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27 Watt Interior Fixture (Dwelling Area) CFL replacing Incandescent Average Watts = 95.31</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$33.07</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$36.88</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-$3.81</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LT-73649</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30 Watt Interior Fixture (Common Area) CFL replacing Incandescent Average Watts = 105.9</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$34.06</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$37.98</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-$3.91</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LT-81657</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30 Watt Interior Fixture (Dwelling Area) CFL replacing Incandescent Average Watts = 105.9</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$37.03</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$41.27</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-$4.24</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LT-59687</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32 Watt Interior Fixture (Common Area) CFL replacing Incandescent Average Watts = 112.96</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$38.02</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$42.36</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-$4.34</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LT-23209</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32 Watt Interior Fixture (Dwelling Area) CFL replacing Incandescent Average Watts = 112.96</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$38.52</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$42.91</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-$4.40</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LT-45765</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36 Watt Interior Fixture (Common Area) CFL replacing Incandescent Average Watts = 127.08</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$42.97</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$47.85</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-$4.88</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LT-59876</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36 Watt Interior Fixture (Dwelling Area) CFL replacing Incandescent Average Watts = 127.08</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$45.44</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$50.59</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-$5.15</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LT-79523</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39 Watt Interior Fixture (Common Area) CFL replacing Incandescent Average Watts = 137.67</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$46.93</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$52.23</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-$5.31</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LT-87943</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39 Watt Interior Fixture (Dwelling Area) CFL replacing Incandescent Average Watts = 137.67</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$56.82</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$63.20</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-$6.38</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FE2FE9" w:rsidRDefault="001C1CE4" w:rsidP="007E4337">
            <w:pPr>
              <w:keepNext/>
              <w:jc w:val="center"/>
              <w:rPr>
                <w:rFonts w:ascii="Calibri" w:hAnsi="Calibri" w:cs="Calibri"/>
                <w:sz w:val="20"/>
                <w:szCs w:val="20"/>
              </w:rPr>
            </w:pPr>
            <w:r w:rsidRPr="00FE2FE9">
              <w:rPr>
                <w:rFonts w:ascii="Calibri" w:hAnsi="Calibri" w:cs="Calibri"/>
                <w:color w:val="000000"/>
                <w:sz w:val="20"/>
                <w:szCs w:val="20"/>
              </w:rPr>
              <w:t>LT-35476</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40 Watt Interior Fixture (Common Area) CFL replacing Incandescent Average Watts = 141.2</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$19.22</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$21.52</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-$2.30</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LT-49660</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40 Watt Interior Fixture (Dwelling Area) CFL replacing Incandescent Average Watts = 141.2</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$22.19</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$24.81</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-$2.62</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LT-62735</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44 Watt Interior Fixture (Common Area) CFL replacing Incandescent Average Watts = 155.32</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$22.69</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$25.36</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-$2.68</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LT-49593</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44 Watt Interior Fixture (Dwelling Area) CFL replacing Incandescent Average Watts = 155.32</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$23.67</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$26.46</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-$2.79</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LT-50587</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46 Watt Interior Fixture (Common Area) CFL replacing Incandescent Average Watts = 162.38</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$23.80</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$27.01</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-$3.21</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LT-67654</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46 Watt Interior Fixture (Dwelling Area) CFL replacing Incandescent Average Watts = 162.38</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$24.66</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$27.56</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-$2.89</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LT-78765</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52 Watt Interior Fixture (Common Area) CFL replacing Incandescent Average Watts = 183.56</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$26.15</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$29.20</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-$3.05</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LT-85876</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52 Watt Interior Fixture (Dwelling Area) CFL replacing Incandescent Average Watts = 183.56</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$27.14</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$30.30</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-$3.16</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LT-90987</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54 Watt Interior Fixture (Common Area) CFL replacing Incandescent Average Watts = 190.62</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$29.12</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$32.49</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-$3.38</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LT-19143</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54 Watt Interior Fixture (Dwelling Area) CFL replacing Incandescent Average Watts = 190.62</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$30.60</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$34.14</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-$3.54</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LT-27559</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55 Watt Interior Fixture (Common Area) CFL replacing Incandescent Average Watts = 194.15</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$31.095</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$34.69</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-$3.59</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LT-34841</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55 Watt Interior Fixture (Dwelling Area) CFL replacing Incandescent Average Watts = 194.15</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$33.07</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$36.88</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-$3.81</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Arial"/>
                <w:color w:val="000000"/>
                <w:sz w:val="20"/>
                <w:szCs w:val="20"/>
              </w:rPr>
            </w:pPr>
            <w:r w:rsidRPr="0065682A">
              <w:rPr>
                <w:rFonts w:ascii="Calibri" w:hAnsi="Calibri" w:cs="Arial"/>
                <w:color w:val="000000"/>
                <w:sz w:val="20"/>
                <w:szCs w:val="20"/>
              </w:rPr>
              <w:t>LT-72843</w:t>
            </w:r>
          </w:p>
        </w:tc>
        <w:tc>
          <w:tcPr>
            <w:tcW w:w="2589" w:type="pct"/>
            <w:vAlign w:val="bottom"/>
          </w:tcPr>
          <w:p w:rsidR="001C1CE4" w:rsidRDefault="001C1CE4" w:rsidP="00A23633">
            <w:pPr>
              <w:rPr>
                <w:rFonts w:ascii="Calibri" w:hAnsi="Calibri"/>
                <w:color w:val="000000"/>
                <w:sz w:val="20"/>
                <w:szCs w:val="20"/>
              </w:rPr>
            </w:pPr>
            <w:r>
              <w:rPr>
                <w:rFonts w:ascii="Calibri" w:hAnsi="Calibri"/>
                <w:color w:val="000000"/>
                <w:sz w:val="20"/>
                <w:szCs w:val="20"/>
              </w:rPr>
              <w:t xml:space="preserve">64 Watt Interior Fixture (Common Area) CFL replacing Incandescent Average Watts = </w:t>
            </w:r>
            <w:r w:rsidR="00A23633">
              <w:rPr>
                <w:rFonts w:ascii="Calibri" w:hAnsi="Calibri"/>
                <w:color w:val="000000"/>
                <w:sz w:val="20"/>
                <w:szCs w:val="20"/>
              </w:rPr>
              <w:t>225.92</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$34.06</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$37.98</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-$3.91</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Arial"/>
                <w:color w:val="000000"/>
                <w:sz w:val="20"/>
                <w:szCs w:val="20"/>
              </w:rPr>
            </w:pPr>
            <w:r w:rsidRPr="00FE2FE9">
              <w:rPr>
                <w:rFonts w:ascii="Calibri" w:hAnsi="Calibri" w:cs="Arial"/>
                <w:color w:val="000000"/>
                <w:sz w:val="20"/>
                <w:szCs w:val="20"/>
              </w:rPr>
              <w:t>LT-38978</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64 Watt Interior Fixture (Dwelling Area) CFL replacing Incandescent Average Watts = 225.92</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$37.03</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$41.27</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-$4.24</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FE2FE9" w:rsidRDefault="001C1CE4" w:rsidP="007E4337">
            <w:pPr>
              <w:jc w:val="center"/>
              <w:rPr>
                <w:rFonts w:ascii="Calibri" w:hAnsi="Calibri" w:cs="Calibri"/>
                <w:sz w:val="20"/>
                <w:szCs w:val="20"/>
              </w:rPr>
            </w:pPr>
            <w:r w:rsidRPr="00FE2FE9">
              <w:rPr>
                <w:rFonts w:ascii="Calibri" w:hAnsi="Calibri" w:cs="Calibri"/>
                <w:color w:val="000000"/>
                <w:sz w:val="20"/>
                <w:szCs w:val="20"/>
              </w:rPr>
              <w:t>LT-45343</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69 Watt Interior Fixture (Common Area) CFL replacing Incandescent Average Watts = 243.57</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$38.02</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$42.36</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-$4.34</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0A11F9" w:rsidRDefault="001C1CE4" w:rsidP="007E4337">
            <w:pPr>
              <w:keepNext/>
              <w:jc w:val="center"/>
              <w:rPr>
                <w:rFonts w:ascii="Calibri" w:hAnsi="Calibri" w:cs="Calibri"/>
                <w:sz w:val="20"/>
                <w:szCs w:val="20"/>
              </w:rPr>
            </w:pPr>
            <w:r>
              <w:rPr>
                <w:rFonts w:ascii="Calibri" w:hAnsi="Calibri" w:cs="Calibri"/>
                <w:color w:val="000000"/>
                <w:sz w:val="20"/>
                <w:szCs w:val="20"/>
              </w:rPr>
              <w:lastRenderedPageBreak/>
              <w:t>LT-56473</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69 Watt Interior Fixture (Dwelling Area) CFL replacing Incandescent Average Watts = 243.57</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$38.52</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$42.91</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-$4.40</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0A11F9" w:rsidRDefault="001C1CE4" w:rsidP="007E4337">
            <w:pPr>
              <w:jc w:val="center"/>
              <w:rPr>
                <w:rFonts w:ascii="Calibri" w:hAnsi="Calibri" w:cs="Calibri"/>
                <w:sz w:val="20"/>
                <w:szCs w:val="20"/>
              </w:rPr>
            </w:pPr>
            <w:r>
              <w:rPr>
                <w:rFonts w:ascii="Calibri" w:hAnsi="Calibri" w:cs="Calibri"/>
                <w:color w:val="000000"/>
                <w:sz w:val="20"/>
                <w:szCs w:val="20"/>
              </w:rPr>
              <w:t>LT-65832</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72 Watt Interior Fixture (Common Area) CFL replacing Incandescent Average Watts = 254.16</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$42.97</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$47.85</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-$4.88</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0A11F9" w:rsidRDefault="001C1CE4" w:rsidP="007E4337">
            <w:pPr>
              <w:jc w:val="center"/>
              <w:rPr>
                <w:rFonts w:ascii="Calibri" w:hAnsi="Calibri" w:cs="Calibri"/>
                <w:sz w:val="20"/>
                <w:szCs w:val="20"/>
              </w:rPr>
            </w:pPr>
            <w:r>
              <w:rPr>
                <w:rFonts w:ascii="Calibri" w:hAnsi="Calibri" w:cs="Calibri"/>
                <w:color w:val="000000"/>
                <w:sz w:val="20"/>
                <w:szCs w:val="20"/>
              </w:rPr>
              <w:t>LT-78567</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72 Watt Interior Fixture (Dwelling Area) CFL replacing Incandescent Average Watts = 254.16</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$45.44</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$50.59</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-$5.15</w:t>
            </w:r>
          </w:p>
        </w:tc>
      </w:tr>
      <w:tr w:rsidR="001C1CE4" w:rsidTr="001C1CE4">
        <w:trPr>
          <w:cnfStyle w:val="000000010000" w:firstRow="0" w:lastRow="0" w:firstColumn="0" w:lastColumn="0" w:oddVBand="0" w:evenVBand="0" w:oddHBand="0" w:evenHBand="1" w:firstRowFirstColumn="0" w:firstRowLastColumn="0" w:lastRowFirstColumn="0" w:lastRowLastColumn="0"/>
          <w:trHeight w:val="255"/>
        </w:trPr>
        <w:tc>
          <w:tcPr>
            <w:tcW w:w="590" w:type="pct"/>
          </w:tcPr>
          <w:p w:rsidR="001C1CE4" w:rsidRPr="000A11F9" w:rsidRDefault="001C1CE4" w:rsidP="007E4337">
            <w:pPr>
              <w:jc w:val="center"/>
              <w:rPr>
                <w:rFonts w:ascii="Calibri" w:hAnsi="Calibri" w:cs="Calibri"/>
                <w:sz w:val="20"/>
                <w:szCs w:val="20"/>
              </w:rPr>
            </w:pPr>
            <w:r>
              <w:rPr>
                <w:rFonts w:ascii="Calibri" w:hAnsi="Calibri" w:cs="Calibri"/>
                <w:color w:val="000000"/>
                <w:sz w:val="20"/>
                <w:szCs w:val="20"/>
              </w:rPr>
              <w:t>LT-87453</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92 Watt Interior Fixture (Common Area) CFL replacing Incandescent Average Watts = 324.76</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$46.93</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$52.23</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-$5.31</w:t>
            </w:r>
          </w:p>
        </w:tc>
      </w:tr>
      <w:tr w:rsidR="001C1CE4" w:rsidTr="001C1CE4">
        <w:trPr>
          <w:cnfStyle w:val="000000100000" w:firstRow="0" w:lastRow="0" w:firstColumn="0" w:lastColumn="0" w:oddVBand="0" w:evenVBand="0" w:oddHBand="1" w:evenHBand="0" w:firstRowFirstColumn="0" w:firstRowLastColumn="0" w:lastRowFirstColumn="0" w:lastRowLastColumn="0"/>
          <w:trHeight w:val="255"/>
        </w:trPr>
        <w:tc>
          <w:tcPr>
            <w:tcW w:w="590" w:type="pct"/>
          </w:tcPr>
          <w:p w:rsidR="001C1CE4" w:rsidRPr="000A11F9" w:rsidRDefault="001C1CE4" w:rsidP="007E4337">
            <w:pPr>
              <w:jc w:val="center"/>
              <w:rPr>
                <w:rFonts w:ascii="Calibri" w:hAnsi="Calibri" w:cs="Calibri"/>
                <w:sz w:val="20"/>
                <w:szCs w:val="20"/>
              </w:rPr>
            </w:pPr>
            <w:r>
              <w:rPr>
                <w:rFonts w:ascii="Calibri" w:hAnsi="Calibri" w:cs="Calibri"/>
                <w:color w:val="000000"/>
                <w:sz w:val="20"/>
                <w:szCs w:val="20"/>
              </w:rPr>
              <w:t>LT-90776</w:t>
            </w:r>
          </w:p>
        </w:tc>
        <w:tc>
          <w:tcPr>
            <w:tcW w:w="2589" w:type="pct"/>
            <w:vAlign w:val="bottom"/>
          </w:tcPr>
          <w:p w:rsidR="001C1CE4" w:rsidRDefault="001C1CE4">
            <w:pPr>
              <w:rPr>
                <w:rFonts w:ascii="Calibri" w:hAnsi="Calibri"/>
                <w:color w:val="000000"/>
                <w:sz w:val="20"/>
                <w:szCs w:val="20"/>
              </w:rPr>
            </w:pPr>
            <w:r>
              <w:rPr>
                <w:rFonts w:ascii="Calibri" w:hAnsi="Calibri"/>
                <w:color w:val="000000"/>
                <w:sz w:val="20"/>
                <w:szCs w:val="20"/>
              </w:rPr>
              <w:t>92 Watt Interior Fixture (Dwelling Area) CFL replacing Incandescent Average Watts = 324.76</w:t>
            </w:r>
          </w:p>
        </w:tc>
        <w:tc>
          <w:tcPr>
            <w:tcW w:w="623" w:type="pct"/>
            <w:noWrap/>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$56.82</w:t>
            </w:r>
          </w:p>
        </w:tc>
        <w:tc>
          <w:tcPr>
            <w:tcW w:w="623"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$63.20</w:t>
            </w:r>
          </w:p>
        </w:tc>
        <w:tc>
          <w:tcPr>
            <w:tcW w:w="575" w:type="pct"/>
            <w:vAlign w:val="center"/>
          </w:tcPr>
          <w:p w:rsidR="001C1CE4" w:rsidRPr="00AF6312" w:rsidRDefault="001C1CE4" w:rsidP="00AF6312">
            <w:pPr>
              <w:jc w:val="center"/>
              <w:rPr>
                <w:rFonts w:asciiTheme="minorHAnsi" w:hAnsiTheme="minorHAnsi"/>
                <w:color w:val="000000"/>
                <w:sz w:val="20"/>
                <w:szCs w:val="20"/>
              </w:rPr>
            </w:pPr>
            <w:r w:rsidRPr="00AF6312">
              <w:rPr>
                <w:rFonts w:asciiTheme="minorHAnsi" w:hAnsiTheme="minorHAnsi"/>
                <w:color w:val="000000"/>
                <w:sz w:val="20"/>
                <w:szCs w:val="20"/>
              </w:rPr>
              <w:t>-$6.38</w:t>
            </w:r>
          </w:p>
        </w:tc>
      </w:tr>
    </w:tbl>
    <w:p w:rsidR="00AF6312" w:rsidRPr="00CC6844" w:rsidRDefault="00AF6312" w:rsidP="00AF6312">
      <w:pPr>
        <w:pStyle w:val="Reminders"/>
        <w:rPr>
          <w:rFonts w:asciiTheme="minorHAnsi" w:hAnsiTheme="minorHAnsi" w:cstheme="minorHAnsi"/>
          <w:i w:val="0"/>
          <w:color w:val="auto"/>
          <w:sz w:val="20"/>
          <w:szCs w:val="22"/>
        </w:rPr>
      </w:pPr>
      <w:r w:rsidRPr="00CC6844">
        <w:rPr>
          <w:rFonts w:asciiTheme="minorHAnsi" w:hAnsiTheme="minorHAnsi" w:cstheme="minorHAnsi"/>
          <w:i w:val="0"/>
          <w:color w:val="auto"/>
          <w:sz w:val="20"/>
          <w:szCs w:val="22"/>
        </w:rPr>
        <w:t>*</w:t>
      </w:r>
      <w:r>
        <w:rPr>
          <w:rFonts w:asciiTheme="minorHAnsi" w:hAnsiTheme="minorHAnsi" w:cstheme="minorHAnsi"/>
          <w:i w:val="0"/>
          <w:color w:val="auto"/>
          <w:sz w:val="20"/>
          <w:szCs w:val="22"/>
        </w:rPr>
        <w:t>DEER Costs</w:t>
      </w:r>
    </w:p>
    <w:p w:rsidR="005A0E53" w:rsidRPr="005A0E53" w:rsidRDefault="005A0E53" w:rsidP="005A0E53">
      <w:pPr>
        <w:pStyle w:val="Heading3"/>
        <w:rPr>
          <w:rFonts w:asciiTheme="minorHAnsi" w:hAnsiTheme="minorHAnsi"/>
        </w:rPr>
      </w:pPr>
      <w:bookmarkStart w:id="31" w:name="_Toc214003099"/>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E16609" w:rsidRPr="00697868" w:rsidRDefault="00984951" w:rsidP="00E16609">
      <w:pPr>
        <w:rPr>
          <w:rFonts w:asciiTheme="minorHAnsi" w:hAnsiTheme="minorHAnsi" w:cstheme="minorHAnsi"/>
          <w:sz w:val="22"/>
          <w:szCs w:val="22"/>
        </w:rPr>
      </w:pPr>
      <w:r>
        <w:rPr>
          <w:rFonts w:asciiTheme="minorHAnsi" w:hAnsiTheme="minorHAnsi" w:cstheme="minorHAnsi"/>
        </w:rPr>
        <w:t>Incremental Measure Cost is the same as Gross Meas</w:t>
      </w:r>
      <w:r w:rsidR="00DD1787">
        <w:rPr>
          <w:rFonts w:asciiTheme="minorHAnsi" w:hAnsiTheme="minorHAnsi" w:cstheme="minorHAnsi"/>
        </w:rPr>
        <w:t>ure Cost as shown in Section 4.3.1</w:t>
      </w:r>
      <w:r w:rsidR="00AF6312">
        <w:rPr>
          <w:rFonts w:asciiTheme="minorHAnsi" w:hAnsiTheme="minorHAnsi" w:cstheme="minorHAnsi"/>
        </w:rPr>
        <w:t xml:space="preserve">, </w:t>
      </w:r>
      <w:r w:rsidR="00AF6312">
        <w:rPr>
          <w:rFonts w:asciiTheme="minorHAnsi" w:hAnsiTheme="minorHAnsi" w:cstheme="minorHAnsi"/>
        </w:rPr>
        <w:fldChar w:fldCharType="begin"/>
      </w:r>
      <w:r w:rsidR="00AF6312">
        <w:rPr>
          <w:rFonts w:asciiTheme="minorHAnsi" w:hAnsiTheme="minorHAnsi" w:cstheme="minorHAnsi"/>
        </w:rPr>
        <w:instrText xml:space="preserve"> REF _Ref394990747 \h </w:instrText>
      </w:r>
      <w:r w:rsidR="00AF6312">
        <w:rPr>
          <w:rFonts w:asciiTheme="minorHAnsi" w:hAnsiTheme="minorHAnsi" w:cstheme="minorHAnsi"/>
        </w:rPr>
      </w:r>
      <w:r w:rsidR="00AF6312">
        <w:rPr>
          <w:rFonts w:asciiTheme="minorHAnsi" w:hAnsiTheme="minorHAnsi" w:cstheme="minorHAnsi"/>
        </w:rPr>
        <w:fldChar w:fldCharType="separate"/>
      </w:r>
      <w:r w:rsidR="00AF6312" w:rsidRPr="0035762B">
        <w:rPr>
          <w:rFonts w:ascii="Calibri" w:hAnsi="Calibri" w:cs="Calibri"/>
          <w:sz w:val="22"/>
          <w:szCs w:val="22"/>
        </w:rPr>
        <w:t xml:space="preserve">Table </w:t>
      </w:r>
      <w:r w:rsidR="00AF6312">
        <w:rPr>
          <w:rFonts w:ascii="Calibri" w:hAnsi="Calibri" w:cs="Calibri"/>
          <w:noProof/>
          <w:sz w:val="22"/>
          <w:szCs w:val="22"/>
        </w:rPr>
        <w:t>13</w:t>
      </w:r>
      <w:r w:rsidR="00AF6312">
        <w:rPr>
          <w:rFonts w:asciiTheme="minorHAnsi" w:hAnsiTheme="minorHAnsi" w:cstheme="minorHAnsi"/>
        </w:rPr>
        <w:fldChar w:fldCharType="end"/>
      </w:r>
      <w:r>
        <w:rPr>
          <w:rFonts w:asciiTheme="minorHAnsi" w:hAnsiTheme="minorHAnsi" w:cstheme="minorHAnsi"/>
        </w:rPr>
        <w:t>.</w:t>
      </w:r>
      <w:r w:rsidR="00E16609" w:rsidRPr="00697868">
        <w:rPr>
          <w:rFonts w:asciiTheme="minorHAnsi" w:hAnsiTheme="minorHAnsi" w:cstheme="minorHAnsi"/>
          <w:sz w:val="22"/>
          <w:szCs w:val="22"/>
        </w:rPr>
        <w:br w:type="page"/>
      </w:r>
    </w:p>
    <w:bookmarkEnd w:id="31"/>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p w:rsidR="00E16609" w:rsidRDefault="00E16609" w:rsidP="008C019F">
      <w:pPr>
        <w:pStyle w:val="Reminders"/>
        <w:tabs>
          <w:tab w:val="left" w:pos="0"/>
        </w:tabs>
        <w:rPr>
          <w:rFonts w:asciiTheme="minorHAnsi" w:hAnsiTheme="minorHAnsi" w:cstheme="minorHAnsi"/>
        </w:rPr>
      </w:pPr>
    </w:p>
    <w:p w:rsidR="008C019F" w:rsidRDefault="008C019F" w:rsidP="008C019F">
      <w:pPr>
        <w:pStyle w:val="Reminders"/>
        <w:rPr>
          <w:rFonts w:asciiTheme="minorHAnsi" w:hAnsiTheme="minorHAnsi" w:cstheme="minorHAnsi"/>
        </w:rPr>
      </w:pPr>
    </w:p>
    <w:p w:rsidR="00E9591D" w:rsidRPr="003C1FCB" w:rsidRDefault="008C019F" w:rsidP="003C1FCB">
      <w:pPr>
        <w:pStyle w:val="Reminders"/>
        <w:rPr>
          <w:rFonts w:asciiTheme="minorHAnsi" w:hAnsiTheme="minorHAnsi" w:cstheme="minorHAnsi"/>
          <w:i w:val="0"/>
          <w:color w:val="auto"/>
        </w:rPr>
      </w:pPr>
      <w:r>
        <w:rPr>
          <w:rFonts w:asciiTheme="minorHAnsi" w:hAnsiTheme="minorHAnsi" w:cstheme="minorHAnsi"/>
          <w:i w:val="0"/>
          <w:color w:val="auto"/>
        </w:rPr>
        <w:t>1.</w:t>
      </w:r>
      <w:bookmarkStart w:id="32" w:name="_MON_1468739752"/>
      <w:bookmarkEnd w:id="32"/>
      <w:r w:rsidR="00C12A7C">
        <w:rPr>
          <w:rFonts w:asciiTheme="minorHAnsi" w:hAnsiTheme="minorHAnsi" w:cstheme="minorHAnsi"/>
          <w:i w:val="0"/>
          <w:color w:val="auto"/>
        </w:rPr>
        <w:object w:dxaOrig="1551" w:dyaOrig="991">
          <v:shape id="_x0000_i1040" type="#_x0000_t75" style="width:77.25pt;height:49.5pt" o:ole="">
            <v:imagedata r:id="rId24" o:title=""/>
          </v:shape>
          <o:OLEObject Type="Embed" ProgID="Excel.SheetMacroEnabled.12" ShapeID="_x0000_i1040" DrawAspect="Icon" ObjectID="_1468997062" r:id="rId25"/>
        </w:object>
      </w:r>
      <w:r w:rsidR="003C1FCB">
        <w:rPr>
          <w:rFonts w:asciiTheme="minorHAnsi" w:hAnsiTheme="minorHAnsi" w:cstheme="minorHAnsi"/>
          <w:i w:val="0"/>
          <w:color w:val="auto"/>
        </w:rPr>
        <w:t xml:space="preserve">  </w:t>
      </w:r>
      <w:r w:rsidR="00E9591D" w:rsidRPr="003C1FCB">
        <w:rPr>
          <w:rFonts w:asciiTheme="minorHAnsi" w:hAnsiTheme="minorHAnsi" w:cstheme="minorHAnsi"/>
          <w:i w:val="0"/>
          <w:color w:val="auto"/>
        </w:rPr>
        <w:t>2.</w:t>
      </w:r>
      <w:r w:rsidR="003C1FCB">
        <w:rPr>
          <w:rFonts w:asciiTheme="minorHAnsi" w:hAnsiTheme="minorHAnsi" w:cstheme="minorHAnsi"/>
          <w:i w:val="0"/>
          <w:color w:val="auto"/>
        </w:rPr>
        <w:object w:dxaOrig="1551" w:dyaOrig="991">
          <v:shape id="_x0000_i1032" type="#_x0000_t75" style="width:77.25pt;height:49.5pt" o:ole="">
            <v:imagedata r:id="rId26" o:title=""/>
          </v:shape>
          <o:OLEObject Type="Embed" ProgID="Excel.Sheet.12" ShapeID="_x0000_i1032" DrawAspect="Icon" ObjectID="_1468997063" r:id="rId27"/>
        </w:object>
      </w:r>
      <w:r w:rsidR="00DA2505" w:rsidRPr="003C1FCB">
        <w:rPr>
          <w:rFonts w:asciiTheme="minorHAnsi" w:hAnsiTheme="minorHAnsi" w:cstheme="minorHAnsi"/>
          <w:i w:val="0"/>
          <w:color w:val="auto"/>
        </w:rPr>
        <w:t xml:space="preserve"> </w:t>
      </w:r>
      <w:r w:rsidR="00E9591D" w:rsidRPr="003C1FCB">
        <w:rPr>
          <w:rFonts w:asciiTheme="minorHAnsi" w:hAnsiTheme="minorHAnsi" w:cstheme="minorHAnsi"/>
          <w:i w:val="0"/>
          <w:color w:val="auto"/>
        </w:rPr>
        <w:t>3.</w:t>
      </w:r>
      <w:r w:rsidR="003C1FCB" w:rsidRPr="003C1FCB">
        <w:rPr>
          <w:rFonts w:asciiTheme="minorHAnsi" w:hAnsiTheme="minorHAnsi" w:cstheme="minorHAnsi"/>
          <w:i w:val="0"/>
          <w:color w:val="auto"/>
        </w:rPr>
        <w:t xml:space="preserve"> </w:t>
      </w:r>
      <w:bookmarkStart w:id="33" w:name="_MON_1400428753"/>
      <w:bookmarkEnd w:id="33"/>
      <w:r w:rsidR="003C1FCB" w:rsidRPr="003C1FCB">
        <w:rPr>
          <w:rFonts w:asciiTheme="minorHAnsi" w:hAnsiTheme="minorHAnsi" w:cstheme="minorHAnsi"/>
          <w:i w:val="0"/>
          <w:color w:val="auto"/>
        </w:rPr>
        <w:object w:dxaOrig="1104" w:dyaOrig="714">
          <v:shape id="_x0000_i1033" type="#_x0000_t75" style="width:55.5pt;height:36.75pt" o:ole="">
            <v:imagedata r:id="rId28" o:title=""/>
          </v:shape>
          <o:OLEObject Type="Embed" ProgID="Excel.Sheet.12" ShapeID="_x0000_i1033" DrawAspect="Icon" ObjectID="_1468997064" r:id="rId29"/>
        </w:object>
      </w:r>
      <w:r w:rsidR="00E9591D" w:rsidRPr="003C1FCB">
        <w:rPr>
          <w:rFonts w:asciiTheme="minorHAnsi" w:hAnsiTheme="minorHAnsi" w:cstheme="minorHAnsi"/>
          <w:i w:val="0"/>
          <w:color w:val="auto"/>
        </w:rPr>
        <w:t>4.</w:t>
      </w:r>
      <w:r w:rsidR="00E9591D" w:rsidRPr="003C1FCB">
        <w:rPr>
          <w:rFonts w:asciiTheme="minorHAnsi" w:hAnsiTheme="minorHAnsi" w:cstheme="minorHAnsi"/>
          <w:i w:val="0"/>
          <w:color w:val="auto"/>
        </w:rPr>
        <w:object w:dxaOrig="1104" w:dyaOrig="714">
          <v:shape id="_x0000_i1034" type="#_x0000_t75" style="width:83.25pt;height:54.75pt" o:ole="">
            <v:imagedata r:id="rId30" o:title=""/>
          </v:shape>
          <o:OLEObject Type="Embed" ProgID="AcroExch.Document.7" ShapeID="_x0000_i1034" DrawAspect="Icon" ObjectID="_1468997065" r:id="rId31"/>
        </w:object>
      </w:r>
      <w:proofErr w:type="gramStart"/>
      <w:r w:rsidR="00E9591D" w:rsidRPr="003C1FCB">
        <w:rPr>
          <w:rFonts w:asciiTheme="minorHAnsi" w:hAnsiTheme="minorHAnsi" w:cstheme="minorHAnsi"/>
          <w:i w:val="0"/>
          <w:color w:val="auto"/>
        </w:rPr>
        <w:t>5.</w:t>
      </w:r>
      <w:proofErr w:type="gramEnd"/>
      <w:r w:rsidR="00E9591D" w:rsidRPr="003C1FCB">
        <w:rPr>
          <w:rFonts w:asciiTheme="minorHAnsi" w:hAnsiTheme="minorHAnsi" w:cstheme="minorHAnsi"/>
          <w:i w:val="0"/>
          <w:color w:val="auto"/>
        </w:rPr>
        <w:object w:dxaOrig="1534" w:dyaOrig="992">
          <v:shape id="_x0000_i1035" type="#_x0000_t75" style="width:76.5pt;height:49.5pt" o:ole="">
            <v:imagedata r:id="rId32" o:title=""/>
          </v:shape>
          <o:OLEObject Type="Embed" ProgID="AcroExch.Document.7" ShapeID="_x0000_i1035" DrawAspect="Icon" ObjectID="_1468997066" r:id="rId33"/>
        </w:object>
      </w:r>
      <w:r w:rsidR="00E9591D" w:rsidRPr="003C1FCB">
        <w:rPr>
          <w:rFonts w:asciiTheme="minorHAnsi" w:hAnsiTheme="minorHAnsi" w:cstheme="minorHAnsi"/>
          <w:i w:val="0"/>
          <w:color w:val="auto"/>
        </w:rPr>
        <w:t>6.</w:t>
      </w:r>
      <w:r w:rsidR="00E9591D" w:rsidRPr="003C1FCB">
        <w:rPr>
          <w:rFonts w:asciiTheme="minorHAnsi" w:hAnsiTheme="minorHAnsi" w:cstheme="minorHAnsi"/>
          <w:i w:val="0"/>
          <w:color w:val="auto"/>
        </w:rPr>
        <w:object w:dxaOrig="1104" w:dyaOrig="714">
          <v:shape id="_x0000_i1036" type="#_x0000_t75" style="width:54.75pt;height:36pt" o:ole="">
            <v:imagedata r:id="rId34" o:title=""/>
          </v:shape>
          <o:OLEObject Type="Embed" ProgID="AcroExch.Document.7" ShapeID="_x0000_i1036" DrawAspect="Icon" ObjectID="_1468997067" r:id="rId35"/>
        </w:object>
      </w:r>
    </w:p>
    <w:p w:rsidR="00C54EFF" w:rsidRPr="00697868" w:rsidRDefault="00C54EFF" w:rsidP="00E16609">
      <w:pPr>
        <w:rPr>
          <w:rFonts w:asciiTheme="minorHAnsi" w:hAnsiTheme="minorHAnsi" w:cstheme="minorHAnsi"/>
        </w:rPr>
      </w:pP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bookmarkStart w:id="34" w:name="_GoBack"/>
      <w:bookmarkEnd w:id="34"/>
    </w:p>
    <w:p w:rsidR="00C54EFF" w:rsidRPr="00697868" w:rsidRDefault="00C54EFF" w:rsidP="00C54EFF">
      <w:pPr>
        <w:pStyle w:val="Heading1"/>
        <w:rPr>
          <w:rFonts w:asciiTheme="minorHAnsi" w:hAnsiTheme="minorHAnsi" w:cstheme="minorHAnsi"/>
        </w:rPr>
      </w:pPr>
      <w:r w:rsidRPr="00697868">
        <w:rPr>
          <w:rFonts w:asciiTheme="minorHAnsi" w:hAnsiTheme="minorHAnsi" w:cstheme="minorHAnsi"/>
        </w:rPr>
        <w:lastRenderedPageBreak/>
        <w:t>References</w:t>
      </w:r>
    </w:p>
    <w:p w:rsidR="009824E9" w:rsidRDefault="009824E9">
      <w:pPr>
        <w:rPr>
          <w:rFonts w:asciiTheme="minorHAnsi" w:hAnsiTheme="minorHAnsi" w:cstheme="minorHAnsi"/>
        </w:rPr>
      </w:pPr>
    </w:p>
    <w:bookmarkStart w:id="35" w:name="_MON_1452317246"/>
    <w:bookmarkEnd w:id="35"/>
    <w:p w:rsidR="009824E9" w:rsidRDefault="0057243A" w:rsidP="009824E9">
      <w:r>
        <w:object w:dxaOrig="2040" w:dyaOrig="1320">
          <v:shape id="_x0000_i1037" type="#_x0000_t75" style="width:102pt;height:66pt" o:ole="">
            <v:imagedata r:id="rId36" o:title=""/>
          </v:shape>
          <o:OLEObject Type="Embed" ProgID="Excel.Sheet.12" ShapeID="_x0000_i1037" DrawAspect="Icon" ObjectID="_1468997068" r:id="rId37"/>
        </w:object>
      </w:r>
    </w:p>
    <w:p w:rsidR="00E9591D" w:rsidRDefault="003C1FCB" w:rsidP="009824E9">
      <w:r>
        <w:t>[31]</w:t>
      </w:r>
    </w:p>
    <w:p w:rsidR="00191F01" w:rsidRDefault="003C1FCB" w:rsidP="00E9591D">
      <w:pPr>
        <w:rPr>
          <w:rFonts w:ascii="Calibri" w:hAnsi="Calibri" w:cs="Calibri"/>
          <w:sz w:val="22"/>
          <w:szCs w:val="22"/>
        </w:rPr>
      </w:pPr>
      <w:r>
        <w:rPr>
          <w:rFonts w:ascii="Calibri" w:hAnsi="Calibri" w:cs="Calibri"/>
          <w:sz w:val="22"/>
          <w:szCs w:val="22"/>
        </w:rPr>
        <w:t>[49]</w:t>
      </w:r>
    </w:p>
    <w:p w:rsidR="003C1FCB" w:rsidRDefault="003C1FCB" w:rsidP="00E9591D">
      <w:pPr>
        <w:rPr>
          <w:rFonts w:ascii="Calibri" w:hAnsi="Calibri" w:cs="Calibri"/>
          <w:sz w:val="22"/>
          <w:szCs w:val="22"/>
        </w:rPr>
      </w:pPr>
      <w:r>
        <w:rPr>
          <w:rFonts w:ascii="Calibri" w:hAnsi="Calibri" w:cs="Calibri"/>
          <w:sz w:val="22"/>
          <w:szCs w:val="22"/>
        </w:rPr>
        <w:t>[215]</w:t>
      </w:r>
    </w:p>
    <w:p w:rsidR="003C1FCB" w:rsidRDefault="003C1FCB" w:rsidP="009824E9">
      <w:pPr>
        <w:rPr>
          <w:rFonts w:ascii="Calibri" w:hAnsi="Calibri" w:cs="Calibri"/>
          <w:sz w:val="22"/>
          <w:szCs w:val="22"/>
        </w:rPr>
      </w:pPr>
      <w:r>
        <w:rPr>
          <w:rFonts w:ascii="Calibri" w:hAnsi="Calibri" w:cs="Calibri"/>
          <w:sz w:val="22"/>
          <w:szCs w:val="22"/>
        </w:rPr>
        <w:t>[351]</w:t>
      </w:r>
    </w:p>
    <w:p w:rsidR="003C1FCB" w:rsidRDefault="003C1FCB" w:rsidP="009824E9">
      <w:pPr>
        <w:rPr>
          <w:rFonts w:ascii="Calibri" w:hAnsi="Calibri" w:cs="Calibri"/>
          <w:sz w:val="22"/>
          <w:szCs w:val="22"/>
        </w:rPr>
      </w:pPr>
      <w:r>
        <w:rPr>
          <w:rFonts w:ascii="Calibri" w:hAnsi="Calibri" w:cs="Calibri"/>
          <w:sz w:val="22"/>
          <w:szCs w:val="22"/>
        </w:rPr>
        <w:t>[355]</w:t>
      </w:r>
    </w:p>
    <w:p w:rsidR="003C1FCB" w:rsidRDefault="003C1FCB" w:rsidP="009824E9">
      <w:pPr>
        <w:rPr>
          <w:rFonts w:ascii="Calibri" w:hAnsi="Calibri" w:cs="Calibri"/>
          <w:sz w:val="22"/>
          <w:szCs w:val="22"/>
        </w:rPr>
      </w:pPr>
      <w:r>
        <w:rPr>
          <w:rFonts w:ascii="Calibri" w:hAnsi="Calibri" w:cs="Calibri"/>
          <w:sz w:val="22"/>
          <w:szCs w:val="22"/>
        </w:rPr>
        <w:t>[422]</w:t>
      </w:r>
    </w:p>
    <w:p w:rsidR="003C1FCB" w:rsidRPr="003C1FCB" w:rsidRDefault="003C1FCB" w:rsidP="009824E9">
      <w:pPr>
        <w:rPr>
          <w:rFonts w:ascii="Calibri" w:hAnsi="Calibri" w:cs="Calibri"/>
          <w:sz w:val="22"/>
          <w:szCs w:val="22"/>
        </w:rPr>
        <w:sectPr w:rsidR="003C1FCB" w:rsidRPr="003C1FCB" w:rsidSect="00CE69E9">
          <w:endnotePr>
            <w:numFmt w:val="upperLetter"/>
          </w:endnotePr>
          <w:pgSz w:w="12240" w:h="15840"/>
          <w:pgMar w:top="1440" w:right="1440" w:bottom="1557" w:left="1440" w:header="720" w:footer="720" w:gutter="0"/>
          <w:pgNumType w:start="1"/>
          <w:cols w:space="720"/>
          <w:docGrid w:linePitch="360"/>
        </w:sectPr>
      </w:pP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984951">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984951">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984951">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984951">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984951">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984951">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984951">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984951">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984951">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984951">
            <w:pPr>
              <w:rPr>
                <w:rFonts w:asciiTheme="minorHAnsi" w:hAnsiTheme="minorHAnsi"/>
                <w:sz w:val="20"/>
                <w:szCs w:val="20"/>
              </w:rPr>
            </w:pPr>
            <w:r>
              <w:rPr>
                <w:rFonts w:asciiTheme="minorHAnsi" w:hAnsiTheme="minorHAnsi"/>
                <w:sz w:val="20"/>
                <w:szCs w:val="20"/>
              </w:rPr>
              <w:t>New Construction (Nc)</w:t>
            </w:r>
          </w:p>
        </w:tc>
        <w:tc>
          <w:tcPr>
            <w:tcW w:w="1890" w:type="dxa"/>
          </w:tcPr>
          <w:p w:rsidR="0023254A" w:rsidRPr="009824E9" w:rsidRDefault="0023254A" w:rsidP="00984951">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984951">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984951">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984951">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984951">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984951">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984951">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984951">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984951">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984951">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984951">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984951">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984951">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984951">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984951">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984951">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984951">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984951">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984951">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984951">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984951">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984951">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984951">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984951">
            <w:pPr>
              <w:rPr>
                <w:rFonts w:asciiTheme="minorHAnsi" w:hAnsiTheme="minorHAnsi"/>
                <w:sz w:val="20"/>
                <w:szCs w:val="20"/>
              </w:rPr>
            </w:pPr>
            <w:r>
              <w:rPr>
                <w:rFonts w:asciiTheme="minorHAnsi" w:hAnsiTheme="minorHAnsi"/>
                <w:sz w:val="20"/>
                <w:szCs w:val="20"/>
              </w:rPr>
              <w:t>Early Replacement RUL (ErRul)</w:t>
            </w:r>
          </w:p>
        </w:tc>
        <w:tc>
          <w:tcPr>
            <w:tcW w:w="1890" w:type="dxa"/>
          </w:tcPr>
          <w:p w:rsidR="0023254A" w:rsidRPr="009824E9" w:rsidRDefault="0023254A" w:rsidP="00984951">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984951">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984951">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984951">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984951">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984951">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984951">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984951">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984951">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984951">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984951">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984951">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984951">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984951">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footerReference w:type="default" r:id="rId38"/>
      <w:endnotePr>
        <w:numFmt w:val="upperLetter"/>
      </w:endnotePr>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450C" w:rsidRDefault="0025450C" w:rsidP="00447D6E">
      <w:r>
        <w:separator/>
      </w:r>
    </w:p>
  </w:endnote>
  <w:endnote w:type="continuationSeparator" w:id="0">
    <w:p w:rsidR="0025450C" w:rsidRDefault="0025450C" w:rsidP="00447D6E">
      <w:r>
        <w:continuationSeparator/>
      </w:r>
    </w:p>
  </w:endnote>
  <w:endnote w:id="1">
    <w:p w:rsidR="0025450C" w:rsidRDefault="0025450C" w:rsidP="00F514A5">
      <w:pPr>
        <w:pStyle w:val="EndnoteText"/>
      </w:pPr>
      <w:r w:rsidRPr="00A76FC8">
        <w:t>[</w:t>
      </w:r>
      <w:r w:rsidRPr="003C1FCB">
        <w:endnoteRef/>
      </w:r>
      <w:r>
        <w:t>] Attachment 2- May 30, 2014 ED Disposition</w:t>
      </w:r>
    </w:p>
    <w:p w:rsidR="0025450C" w:rsidRDefault="0025450C" w:rsidP="00F514A5">
      <w:pPr>
        <w:pStyle w:val="EndnoteText"/>
      </w:pPr>
    </w:p>
  </w:endnote>
  <w:endnote w:id="2">
    <w:p w:rsidR="0025450C" w:rsidRPr="003C1FCB" w:rsidRDefault="0025450C" w:rsidP="00F514A5">
      <w:pPr>
        <w:pStyle w:val="EndnoteText"/>
      </w:pPr>
      <w:r w:rsidRPr="003C1FCB">
        <w:t>[</w:t>
      </w:r>
      <w:r w:rsidRPr="003C1FCB">
        <w:endnoteRef/>
      </w:r>
      <w:r w:rsidRPr="003C1FCB">
        <w:t>] Attachment 1 – Calculation Template 2015 v4.xlsm</w:t>
      </w:r>
    </w:p>
    <w:p w:rsidR="0025450C" w:rsidRPr="003C1FCB" w:rsidRDefault="0025450C" w:rsidP="00F514A5">
      <w:pPr>
        <w:pStyle w:val="EndnoteText"/>
      </w:pPr>
    </w:p>
  </w:endnote>
  <w:endnote w:id="3">
    <w:p w:rsidR="0025450C" w:rsidRDefault="0025450C">
      <w:pPr>
        <w:pStyle w:val="EndnoteText"/>
      </w:pPr>
      <w:r>
        <w:t>[</w:t>
      </w:r>
      <w:r w:rsidRPr="003C1FCB">
        <w:endnoteRef/>
      </w:r>
      <w:r>
        <w:t>] Attachment 3 – Cost.xlsx</w:t>
      </w:r>
    </w:p>
    <w:p w:rsidR="0025450C" w:rsidRDefault="0025450C">
      <w:pPr>
        <w:pStyle w:val="EndnoteText"/>
      </w:pPr>
    </w:p>
  </w:endnote>
  <w:endnote w:id="4">
    <w:p w:rsidR="0025450C" w:rsidRDefault="0025450C" w:rsidP="00F514A5">
      <w:pPr>
        <w:pStyle w:val="EndnoteText"/>
      </w:pPr>
      <w:r>
        <w:t>[</w:t>
      </w:r>
      <w:r w:rsidRPr="003C1FCB">
        <w:endnoteRef/>
      </w:r>
      <w:r w:rsidRPr="00F514A5">
        <w:t>]</w:t>
      </w:r>
      <w:r>
        <w:t xml:space="preserve"> Attachment 4 – Vendor 1 Cost.pdf</w:t>
      </w:r>
    </w:p>
    <w:p w:rsidR="0025450C" w:rsidRDefault="0025450C" w:rsidP="00F514A5">
      <w:pPr>
        <w:pStyle w:val="EndnoteText"/>
      </w:pPr>
    </w:p>
  </w:endnote>
  <w:endnote w:id="5">
    <w:p w:rsidR="0025450C" w:rsidRPr="003C1FCB" w:rsidRDefault="0025450C" w:rsidP="00F514A5">
      <w:pPr>
        <w:pStyle w:val="EndnoteText"/>
      </w:pPr>
      <w:r w:rsidRPr="003C1FCB">
        <w:t>[</w:t>
      </w:r>
      <w:r w:rsidRPr="003C1FCB">
        <w:endnoteRef/>
      </w:r>
      <w:r w:rsidRPr="003C1FCB">
        <w:t>] Attachment 5 – Vendor 2 Cost.pdf</w:t>
      </w:r>
    </w:p>
    <w:p w:rsidR="0025450C" w:rsidRPr="003C1FCB" w:rsidRDefault="0025450C" w:rsidP="00F514A5">
      <w:pPr>
        <w:pStyle w:val="EndnoteText"/>
      </w:pPr>
    </w:p>
  </w:endnote>
  <w:endnote w:id="6">
    <w:p w:rsidR="0025450C" w:rsidRPr="003C1FCB" w:rsidRDefault="0025450C" w:rsidP="00F514A5">
      <w:pPr>
        <w:pStyle w:val="EndnoteText"/>
      </w:pPr>
      <w:r w:rsidRPr="003C1FCB">
        <w:t>[</w:t>
      </w:r>
      <w:r w:rsidRPr="003C1FCB">
        <w:endnoteRef/>
      </w:r>
      <w:r w:rsidRPr="003C1FCB">
        <w:t>] Attachment 6 – Vendor 3 Cost.pdf</w:t>
      </w:r>
    </w:p>
    <w:p w:rsidR="0025450C" w:rsidRPr="007C213E" w:rsidRDefault="0025450C" w:rsidP="00F514A5">
      <w:pPr>
        <w:pStyle w:val="EndnoteText"/>
        <w:rPr>
          <w:rFonts w:cs="Calibr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mesNewRomanPSMT">
    <w:panose1 w:val="00000000000000000000"/>
    <w:charset w:val="00"/>
    <w:family w:val="roman"/>
    <w:notTrueType/>
    <w:pitch w:val="default"/>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50C" w:rsidRPr="009500DC" w:rsidRDefault="0025450C" w:rsidP="00447D6E">
    <w:pPr>
      <w:pStyle w:val="Footer"/>
      <w:jc w:val="right"/>
      <w:rPr>
        <w:rFonts w:asciiTheme="minorHAnsi" w:hAnsiTheme="minorHAnsi" w:cstheme="minorHAnsi"/>
      </w:rPr>
    </w:pPr>
    <w:r>
      <w:rPr>
        <w:rFonts w:asciiTheme="minorHAnsi" w:hAnsiTheme="minorHAnsi" w:cstheme="minorHAnsi"/>
        <w:b/>
        <w:sz w:val="36"/>
        <w:szCs w:val="36"/>
      </w:rPr>
      <w:t>August 4,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50C" w:rsidRPr="009500DC" w:rsidRDefault="0025450C"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 xml:space="preserve">SCE13LG085, </w:t>
    </w:r>
    <w:r w:rsidRPr="009500DC">
      <w:rPr>
        <w:rFonts w:asciiTheme="minorHAnsi" w:hAnsiTheme="minorHAnsi" w:cstheme="minorHAnsi"/>
        <w:b/>
        <w:sz w:val="20"/>
        <w:szCs w:val="20"/>
      </w:rPr>
      <w:t xml:space="preserve">Revision </w:t>
    </w:r>
    <w:r>
      <w:rPr>
        <w:rFonts w:asciiTheme="minorHAnsi" w:hAnsiTheme="minorHAnsi" w:cstheme="minorHAnsi"/>
        <w:b/>
        <w:sz w:val="20"/>
        <w:szCs w:val="20"/>
      </w:rPr>
      <w:t>3</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C12A7C">
      <w:rPr>
        <w:rFonts w:asciiTheme="minorHAnsi" w:hAnsiTheme="minorHAnsi" w:cstheme="minorHAnsi"/>
        <w:b/>
        <w:noProof/>
        <w:sz w:val="20"/>
        <w:szCs w:val="20"/>
      </w:rPr>
      <w:t>18</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August 4, 2014</w:t>
    </w:r>
  </w:p>
  <w:p w:rsidR="0025450C" w:rsidRPr="009500DC" w:rsidRDefault="0025450C"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50C" w:rsidRPr="009500DC" w:rsidRDefault="0025450C"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SCE13LG085</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3</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C12A7C">
      <w:rPr>
        <w:rFonts w:asciiTheme="minorHAnsi" w:hAnsiTheme="minorHAnsi" w:cstheme="minorHAnsi"/>
        <w:b/>
        <w:noProof/>
        <w:sz w:val="20"/>
        <w:szCs w:val="20"/>
      </w:rPr>
      <w:t>20</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August 4, 2014</w:t>
    </w:r>
  </w:p>
  <w:p w:rsidR="0025450C" w:rsidRPr="009500DC" w:rsidRDefault="0025450C"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450C" w:rsidRDefault="0025450C" w:rsidP="00447D6E">
      <w:r>
        <w:separator/>
      </w:r>
    </w:p>
  </w:footnote>
  <w:footnote w:type="continuationSeparator" w:id="0">
    <w:p w:rsidR="0025450C" w:rsidRDefault="0025450C"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51046A2"/>
    <w:multiLevelType w:val="hybridMultilevel"/>
    <w:tmpl w:val="0FD4A8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95A4915"/>
    <w:multiLevelType w:val="hybridMultilevel"/>
    <w:tmpl w:val="EF7AC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CEC4B5A"/>
    <w:multiLevelType w:val="hybridMultilevel"/>
    <w:tmpl w:val="FA6807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D20144D"/>
    <w:multiLevelType w:val="hybridMultilevel"/>
    <w:tmpl w:val="60E0C6A6"/>
    <w:lvl w:ilvl="0" w:tplc="04090019">
      <w:start w:val="1"/>
      <w:numFmt w:val="lowerLetter"/>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BC02ED8"/>
    <w:multiLevelType w:val="hybridMultilevel"/>
    <w:tmpl w:val="BCE41D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6D940AEF"/>
    <w:multiLevelType w:val="hybridMultilevel"/>
    <w:tmpl w:val="D7E05F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9"/>
  </w:num>
  <w:num w:numId="3">
    <w:abstractNumId w:val="8"/>
  </w:num>
  <w:num w:numId="4">
    <w:abstractNumId w:val="6"/>
  </w:num>
  <w:num w:numId="5">
    <w:abstractNumId w:val="6"/>
  </w:num>
  <w:num w:numId="6">
    <w:abstractNumId w:val="0"/>
  </w:num>
  <w:num w:numId="7">
    <w:abstractNumId w:val="10"/>
  </w:num>
  <w:num w:numId="8">
    <w:abstractNumId w:val="7"/>
  </w:num>
  <w:num w:numId="9">
    <w:abstractNumId w:val="11"/>
  </w:num>
  <w:num w:numId="10">
    <w:abstractNumId w:val="4"/>
  </w:num>
  <w:num w:numId="11">
    <w:abstractNumId w:val="2"/>
  </w:num>
  <w:num w:numId="12">
    <w:abstractNumId w:val="5"/>
  </w:num>
  <w:num w:numId="13">
    <w:abstractNumId w:val="3"/>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81"/>
  </w:hdrShapeDefaults>
  <w:footnotePr>
    <w:footnote w:id="-1"/>
    <w:footnote w:id="0"/>
  </w:footnotePr>
  <w:endnotePr>
    <w:numFmt w:val="upperLette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328C"/>
    <w:rsid w:val="00004DC6"/>
    <w:rsid w:val="00005902"/>
    <w:rsid w:val="00005A00"/>
    <w:rsid w:val="00027183"/>
    <w:rsid w:val="00033EA1"/>
    <w:rsid w:val="000465B7"/>
    <w:rsid w:val="00056947"/>
    <w:rsid w:val="00076DF4"/>
    <w:rsid w:val="0009074D"/>
    <w:rsid w:val="00092367"/>
    <w:rsid w:val="0009592B"/>
    <w:rsid w:val="000968C6"/>
    <w:rsid w:val="000A63C9"/>
    <w:rsid w:val="000B52A1"/>
    <w:rsid w:val="000C0000"/>
    <w:rsid w:val="000C18CC"/>
    <w:rsid w:val="000E52F9"/>
    <w:rsid w:val="000E6D8C"/>
    <w:rsid w:val="000F130A"/>
    <w:rsid w:val="000F56D6"/>
    <w:rsid w:val="00107242"/>
    <w:rsid w:val="00111E03"/>
    <w:rsid w:val="001206F7"/>
    <w:rsid w:val="001322A5"/>
    <w:rsid w:val="0013406B"/>
    <w:rsid w:val="00147155"/>
    <w:rsid w:val="00153CB3"/>
    <w:rsid w:val="00165357"/>
    <w:rsid w:val="001811EE"/>
    <w:rsid w:val="00191F01"/>
    <w:rsid w:val="001A0EB4"/>
    <w:rsid w:val="001A5F62"/>
    <w:rsid w:val="001B17FA"/>
    <w:rsid w:val="001B618B"/>
    <w:rsid w:val="001C1CE4"/>
    <w:rsid w:val="001C4140"/>
    <w:rsid w:val="001C5A94"/>
    <w:rsid w:val="001E0829"/>
    <w:rsid w:val="001E1612"/>
    <w:rsid w:val="001F05CE"/>
    <w:rsid w:val="001F143E"/>
    <w:rsid w:val="001F4A65"/>
    <w:rsid w:val="0020686A"/>
    <w:rsid w:val="002163E5"/>
    <w:rsid w:val="0023254A"/>
    <w:rsid w:val="00240B74"/>
    <w:rsid w:val="00240BBA"/>
    <w:rsid w:val="0025450C"/>
    <w:rsid w:val="00274FBE"/>
    <w:rsid w:val="002762E1"/>
    <w:rsid w:val="002811BC"/>
    <w:rsid w:val="00283DE8"/>
    <w:rsid w:val="002852F0"/>
    <w:rsid w:val="00285966"/>
    <w:rsid w:val="00290ED8"/>
    <w:rsid w:val="002A3D26"/>
    <w:rsid w:val="002B1ADF"/>
    <w:rsid w:val="002C444C"/>
    <w:rsid w:val="002C6C7A"/>
    <w:rsid w:val="002D460E"/>
    <w:rsid w:val="002D49EA"/>
    <w:rsid w:val="002E18E2"/>
    <w:rsid w:val="002E798C"/>
    <w:rsid w:val="002F1437"/>
    <w:rsid w:val="002F3943"/>
    <w:rsid w:val="0030363A"/>
    <w:rsid w:val="00311AE8"/>
    <w:rsid w:val="00311ECB"/>
    <w:rsid w:val="00332700"/>
    <w:rsid w:val="00345D80"/>
    <w:rsid w:val="003471D4"/>
    <w:rsid w:val="003560BA"/>
    <w:rsid w:val="0035762B"/>
    <w:rsid w:val="00376255"/>
    <w:rsid w:val="003832D2"/>
    <w:rsid w:val="00383B8F"/>
    <w:rsid w:val="003C1FCB"/>
    <w:rsid w:val="003D09A4"/>
    <w:rsid w:val="003D2871"/>
    <w:rsid w:val="003D5B83"/>
    <w:rsid w:val="003E6660"/>
    <w:rsid w:val="003E6E47"/>
    <w:rsid w:val="003F0623"/>
    <w:rsid w:val="004013F6"/>
    <w:rsid w:val="0040297D"/>
    <w:rsid w:val="00403ACE"/>
    <w:rsid w:val="00413CDB"/>
    <w:rsid w:val="0041443E"/>
    <w:rsid w:val="004200FE"/>
    <w:rsid w:val="00421183"/>
    <w:rsid w:val="004316D0"/>
    <w:rsid w:val="00441957"/>
    <w:rsid w:val="004436FD"/>
    <w:rsid w:val="00443948"/>
    <w:rsid w:val="00443D32"/>
    <w:rsid w:val="00447CE5"/>
    <w:rsid w:val="00447D6E"/>
    <w:rsid w:val="004564B4"/>
    <w:rsid w:val="0046286E"/>
    <w:rsid w:val="00471234"/>
    <w:rsid w:val="00477522"/>
    <w:rsid w:val="00483EED"/>
    <w:rsid w:val="00493457"/>
    <w:rsid w:val="00494628"/>
    <w:rsid w:val="004B4757"/>
    <w:rsid w:val="004B4A3A"/>
    <w:rsid w:val="004C23F1"/>
    <w:rsid w:val="004C643F"/>
    <w:rsid w:val="004E01F5"/>
    <w:rsid w:val="004E4FBF"/>
    <w:rsid w:val="004E76CA"/>
    <w:rsid w:val="00501EBD"/>
    <w:rsid w:val="00506083"/>
    <w:rsid w:val="0051020F"/>
    <w:rsid w:val="00515128"/>
    <w:rsid w:val="00530364"/>
    <w:rsid w:val="00534C31"/>
    <w:rsid w:val="00560934"/>
    <w:rsid w:val="00563A9F"/>
    <w:rsid w:val="00564960"/>
    <w:rsid w:val="0057243A"/>
    <w:rsid w:val="005734A4"/>
    <w:rsid w:val="005903EE"/>
    <w:rsid w:val="005A08FA"/>
    <w:rsid w:val="005A0E53"/>
    <w:rsid w:val="005A1078"/>
    <w:rsid w:val="005A47F3"/>
    <w:rsid w:val="005B28C1"/>
    <w:rsid w:val="005C15F0"/>
    <w:rsid w:val="005C2E48"/>
    <w:rsid w:val="005D4DD7"/>
    <w:rsid w:val="005D7C5B"/>
    <w:rsid w:val="005E12A9"/>
    <w:rsid w:val="00602799"/>
    <w:rsid w:val="00612041"/>
    <w:rsid w:val="00613737"/>
    <w:rsid w:val="00614410"/>
    <w:rsid w:val="006404E6"/>
    <w:rsid w:val="0064565F"/>
    <w:rsid w:val="0064716E"/>
    <w:rsid w:val="00647ABE"/>
    <w:rsid w:val="00653FA4"/>
    <w:rsid w:val="0065682A"/>
    <w:rsid w:val="00664B05"/>
    <w:rsid w:val="006811F1"/>
    <w:rsid w:val="00697868"/>
    <w:rsid w:val="006A055F"/>
    <w:rsid w:val="006A5293"/>
    <w:rsid w:val="006B0DF3"/>
    <w:rsid w:val="006B3FC3"/>
    <w:rsid w:val="006B4A48"/>
    <w:rsid w:val="006C430A"/>
    <w:rsid w:val="006D2809"/>
    <w:rsid w:val="006D6416"/>
    <w:rsid w:val="006E3342"/>
    <w:rsid w:val="006E4B12"/>
    <w:rsid w:val="007048AC"/>
    <w:rsid w:val="007078BD"/>
    <w:rsid w:val="0071606B"/>
    <w:rsid w:val="00733C7D"/>
    <w:rsid w:val="00740761"/>
    <w:rsid w:val="0074214E"/>
    <w:rsid w:val="00745F77"/>
    <w:rsid w:val="0075222B"/>
    <w:rsid w:val="0076247F"/>
    <w:rsid w:val="00764D0D"/>
    <w:rsid w:val="00770623"/>
    <w:rsid w:val="00770CBB"/>
    <w:rsid w:val="00785FAE"/>
    <w:rsid w:val="007933F1"/>
    <w:rsid w:val="0079759F"/>
    <w:rsid w:val="007D0AFB"/>
    <w:rsid w:val="007D2BC3"/>
    <w:rsid w:val="007D5D5A"/>
    <w:rsid w:val="007E4337"/>
    <w:rsid w:val="007E43F8"/>
    <w:rsid w:val="007E656B"/>
    <w:rsid w:val="007F50E8"/>
    <w:rsid w:val="007F799C"/>
    <w:rsid w:val="007F7FBA"/>
    <w:rsid w:val="00800319"/>
    <w:rsid w:val="00801F7F"/>
    <w:rsid w:val="00813EF5"/>
    <w:rsid w:val="00824F1C"/>
    <w:rsid w:val="00830264"/>
    <w:rsid w:val="0086160B"/>
    <w:rsid w:val="00881A42"/>
    <w:rsid w:val="00885E0A"/>
    <w:rsid w:val="0088603B"/>
    <w:rsid w:val="00893FC3"/>
    <w:rsid w:val="0089577B"/>
    <w:rsid w:val="008A2BEC"/>
    <w:rsid w:val="008C019F"/>
    <w:rsid w:val="008C2E0E"/>
    <w:rsid w:val="008D13FB"/>
    <w:rsid w:val="008D725E"/>
    <w:rsid w:val="008E17CC"/>
    <w:rsid w:val="008F1BE0"/>
    <w:rsid w:val="008F33B4"/>
    <w:rsid w:val="0090077A"/>
    <w:rsid w:val="00906DA9"/>
    <w:rsid w:val="009138A0"/>
    <w:rsid w:val="00913FDC"/>
    <w:rsid w:val="00922B85"/>
    <w:rsid w:val="00937893"/>
    <w:rsid w:val="009500DC"/>
    <w:rsid w:val="00951923"/>
    <w:rsid w:val="009630B8"/>
    <w:rsid w:val="00972C81"/>
    <w:rsid w:val="009737A8"/>
    <w:rsid w:val="00976A04"/>
    <w:rsid w:val="00981F04"/>
    <w:rsid w:val="009824E9"/>
    <w:rsid w:val="00984951"/>
    <w:rsid w:val="00995B16"/>
    <w:rsid w:val="00995CB0"/>
    <w:rsid w:val="00997E77"/>
    <w:rsid w:val="009A2734"/>
    <w:rsid w:val="009B5B7B"/>
    <w:rsid w:val="009C120D"/>
    <w:rsid w:val="009C1777"/>
    <w:rsid w:val="009C2C86"/>
    <w:rsid w:val="009C4B2A"/>
    <w:rsid w:val="009D0753"/>
    <w:rsid w:val="009E1802"/>
    <w:rsid w:val="009E1CDE"/>
    <w:rsid w:val="009E51E2"/>
    <w:rsid w:val="009F536C"/>
    <w:rsid w:val="009F7A61"/>
    <w:rsid w:val="00A04170"/>
    <w:rsid w:val="00A075B9"/>
    <w:rsid w:val="00A11C16"/>
    <w:rsid w:val="00A1423E"/>
    <w:rsid w:val="00A23633"/>
    <w:rsid w:val="00A500D6"/>
    <w:rsid w:val="00A72354"/>
    <w:rsid w:val="00A76FC8"/>
    <w:rsid w:val="00A86DA2"/>
    <w:rsid w:val="00AA4A7D"/>
    <w:rsid w:val="00AB21F5"/>
    <w:rsid w:val="00AB3386"/>
    <w:rsid w:val="00AC5309"/>
    <w:rsid w:val="00AD4DD0"/>
    <w:rsid w:val="00AF36AE"/>
    <w:rsid w:val="00AF6312"/>
    <w:rsid w:val="00AF6342"/>
    <w:rsid w:val="00B053FB"/>
    <w:rsid w:val="00B07EE5"/>
    <w:rsid w:val="00B26778"/>
    <w:rsid w:val="00B26B83"/>
    <w:rsid w:val="00B27CFE"/>
    <w:rsid w:val="00B32479"/>
    <w:rsid w:val="00B403ED"/>
    <w:rsid w:val="00B85D39"/>
    <w:rsid w:val="00B866B4"/>
    <w:rsid w:val="00BA590A"/>
    <w:rsid w:val="00BB02AF"/>
    <w:rsid w:val="00BB0B39"/>
    <w:rsid w:val="00BB5F75"/>
    <w:rsid w:val="00BD3931"/>
    <w:rsid w:val="00BD5B88"/>
    <w:rsid w:val="00BE1971"/>
    <w:rsid w:val="00C057EC"/>
    <w:rsid w:val="00C12A7C"/>
    <w:rsid w:val="00C21E8C"/>
    <w:rsid w:val="00C24D03"/>
    <w:rsid w:val="00C25E61"/>
    <w:rsid w:val="00C32260"/>
    <w:rsid w:val="00C54EFF"/>
    <w:rsid w:val="00C55CE5"/>
    <w:rsid w:val="00C57B4E"/>
    <w:rsid w:val="00C631F0"/>
    <w:rsid w:val="00C66485"/>
    <w:rsid w:val="00C67D93"/>
    <w:rsid w:val="00C72B8B"/>
    <w:rsid w:val="00C92974"/>
    <w:rsid w:val="00CA2AB4"/>
    <w:rsid w:val="00CA3220"/>
    <w:rsid w:val="00CA56A0"/>
    <w:rsid w:val="00CB0100"/>
    <w:rsid w:val="00CC6844"/>
    <w:rsid w:val="00CD010F"/>
    <w:rsid w:val="00CE28CF"/>
    <w:rsid w:val="00CE51DB"/>
    <w:rsid w:val="00CE5BEB"/>
    <w:rsid w:val="00CE69E9"/>
    <w:rsid w:val="00CF1500"/>
    <w:rsid w:val="00CF29E6"/>
    <w:rsid w:val="00CF39A1"/>
    <w:rsid w:val="00D10BD6"/>
    <w:rsid w:val="00D17848"/>
    <w:rsid w:val="00D25074"/>
    <w:rsid w:val="00D33AA6"/>
    <w:rsid w:val="00D34D5C"/>
    <w:rsid w:val="00D36798"/>
    <w:rsid w:val="00D52AFC"/>
    <w:rsid w:val="00D62384"/>
    <w:rsid w:val="00D6784A"/>
    <w:rsid w:val="00D7380B"/>
    <w:rsid w:val="00D75D77"/>
    <w:rsid w:val="00D94FD4"/>
    <w:rsid w:val="00DA11A0"/>
    <w:rsid w:val="00DA2505"/>
    <w:rsid w:val="00DA690B"/>
    <w:rsid w:val="00DA7D28"/>
    <w:rsid w:val="00DD1787"/>
    <w:rsid w:val="00DF2EE9"/>
    <w:rsid w:val="00E032B3"/>
    <w:rsid w:val="00E065A2"/>
    <w:rsid w:val="00E07752"/>
    <w:rsid w:val="00E110B2"/>
    <w:rsid w:val="00E16609"/>
    <w:rsid w:val="00E16F08"/>
    <w:rsid w:val="00E233F3"/>
    <w:rsid w:val="00E30A06"/>
    <w:rsid w:val="00E37F72"/>
    <w:rsid w:val="00E42A30"/>
    <w:rsid w:val="00E53E59"/>
    <w:rsid w:val="00E55ED7"/>
    <w:rsid w:val="00E66C8F"/>
    <w:rsid w:val="00E81F3E"/>
    <w:rsid w:val="00E85016"/>
    <w:rsid w:val="00E859BD"/>
    <w:rsid w:val="00E9591D"/>
    <w:rsid w:val="00E96759"/>
    <w:rsid w:val="00EB2E9F"/>
    <w:rsid w:val="00EB34FC"/>
    <w:rsid w:val="00EB6141"/>
    <w:rsid w:val="00EB7349"/>
    <w:rsid w:val="00EB76E1"/>
    <w:rsid w:val="00EC2B80"/>
    <w:rsid w:val="00ED18D3"/>
    <w:rsid w:val="00ED1DA9"/>
    <w:rsid w:val="00EE33D5"/>
    <w:rsid w:val="00EF093F"/>
    <w:rsid w:val="00EF5416"/>
    <w:rsid w:val="00F06CCF"/>
    <w:rsid w:val="00F15384"/>
    <w:rsid w:val="00F20DCF"/>
    <w:rsid w:val="00F26C6F"/>
    <w:rsid w:val="00F320BE"/>
    <w:rsid w:val="00F4752B"/>
    <w:rsid w:val="00F514A5"/>
    <w:rsid w:val="00F56792"/>
    <w:rsid w:val="00F60679"/>
    <w:rsid w:val="00F60E32"/>
    <w:rsid w:val="00F7237A"/>
    <w:rsid w:val="00F7242E"/>
    <w:rsid w:val="00FB19D8"/>
    <w:rsid w:val="00FB2103"/>
    <w:rsid w:val="00FC037D"/>
    <w:rsid w:val="00FD5A8C"/>
    <w:rsid w:val="00FE3233"/>
    <w:rsid w:val="00FE4E6E"/>
    <w:rsid w:val="00FF24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EndnoteText">
    <w:name w:val="endnote text"/>
    <w:basedOn w:val="Normal"/>
    <w:link w:val="EndnoteTextChar"/>
    <w:uiPriority w:val="99"/>
    <w:unhideWhenUsed/>
    <w:rsid w:val="00984951"/>
    <w:rPr>
      <w:rFonts w:asciiTheme="minorHAnsi" w:hAnsiTheme="minorHAnsi"/>
      <w:sz w:val="20"/>
      <w:szCs w:val="20"/>
    </w:rPr>
  </w:style>
  <w:style w:type="character" w:customStyle="1" w:styleId="EndnoteTextChar">
    <w:name w:val="Endnote Text Char"/>
    <w:basedOn w:val="DefaultParagraphFont"/>
    <w:link w:val="EndnoteText"/>
    <w:uiPriority w:val="99"/>
    <w:rsid w:val="00984951"/>
    <w:rPr>
      <w:rFonts w:eastAsia="Times New Roman" w:cs="Times New Roman"/>
      <w:sz w:val="20"/>
      <w:szCs w:val="20"/>
    </w:rPr>
  </w:style>
  <w:style w:type="character" w:styleId="EndnoteReference">
    <w:name w:val="endnote reference"/>
    <w:uiPriority w:val="99"/>
    <w:semiHidden/>
    <w:unhideWhenUsed/>
    <w:rsid w:val="00984951"/>
    <w:rPr>
      <w:vertAlign w:val="superscript"/>
    </w:rPr>
  </w:style>
  <w:style w:type="paragraph" w:styleId="ListParagraph">
    <w:name w:val="List Paragraph"/>
    <w:basedOn w:val="Normal"/>
    <w:uiPriority w:val="34"/>
    <w:qFormat/>
    <w:rsid w:val="00501EB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EndnoteText">
    <w:name w:val="endnote text"/>
    <w:basedOn w:val="Normal"/>
    <w:link w:val="EndnoteTextChar"/>
    <w:uiPriority w:val="99"/>
    <w:unhideWhenUsed/>
    <w:rsid w:val="00984951"/>
    <w:rPr>
      <w:rFonts w:asciiTheme="minorHAnsi" w:hAnsiTheme="minorHAnsi"/>
      <w:sz w:val="20"/>
      <w:szCs w:val="20"/>
    </w:rPr>
  </w:style>
  <w:style w:type="character" w:customStyle="1" w:styleId="EndnoteTextChar">
    <w:name w:val="Endnote Text Char"/>
    <w:basedOn w:val="DefaultParagraphFont"/>
    <w:link w:val="EndnoteText"/>
    <w:uiPriority w:val="99"/>
    <w:rsid w:val="00984951"/>
    <w:rPr>
      <w:rFonts w:eastAsia="Times New Roman" w:cs="Times New Roman"/>
      <w:sz w:val="20"/>
      <w:szCs w:val="20"/>
    </w:rPr>
  </w:style>
  <w:style w:type="character" w:styleId="EndnoteReference">
    <w:name w:val="endnote reference"/>
    <w:uiPriority w:val="99"/>
    <w:semiHidden/>
    <w:unhideWhenUsed/>
    <w:rsid w:val="00984951"/>
    <w:rPr>
      <w:vertAlign w:val="superscript"/>
    </w:rPr>
  </w:style>
  <w:style w:type="paragraph" w:styleId="ListParagraph">
    <w:name w:val="List Paragraph"/>
    <w:basedOn w:val="Normal"/>
    <w:uiPriority w:val="34"/>
    <w:qFormat/>
    <w:rsid w:val="00501EB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774283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4.wmf"/><Relationship Id="rId26" Type="http://schemas.openxmlformats.org/officeDocument/2006/relationships/image" Target="media/image8.emf"/><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oleObject5.bin"/><Relationship Id="rId34"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package" Target="embeddings/Microsoft_Excel_Macro-Enabled_Worksheet1.xlsm"/><Relationship Id="rId33" Type="http://schemas.openxmlformats.org/officeDocument/2006/relationships/oleObject" Target="embeddings/oleObject8.bin"/><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image" Target="media/image5.wmf"/><Relationship Id="rId29" Type="http://schemas.openxmlformats.org/officeDocument/2006/relationships/package" Target="embeddings/Microsoft_Excel_Worksheet3.xls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Excel_Worksheet4.xlsx"/><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emf"/><Relationship Id="rId36" Type="http://schemas.openxmlformats.org/officeDocument/2006/relationships/image" Target="media/image13.emf"/><Relationship Id="rId10" Type="http://schemas.openxmlformats.org/officeDocument/2006/relationships/footer" Target="footer2.xml"/><Relationship Id="rId19" Type="http://schemas.openxmlformats.org/officeDocument/2006/relationships/oleObject" Target="embeddings/oleObject4.bin"/><Relationship Id="rId31" Type="http://schemas.openxmlformats.org/officeDocument/2006/relationships/oleObject" Target="embeddings/oleObject7.bin"/><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wmf"/><Relationship Id="rId22" Type="http://schemas.openxmlformats.org/officeDocument/2006/relationships/image" Target="media/image6.wmf"/><Relationship Id="rId27" Type="http://schemas.openxmlformats.org/officeDocument/2006/relationships/package" Target="embeddings/Microsoft_Excel_Worksheet2.xlsx"/><Relationship Id="rId30" Type="http://schemas.openxmlformats.org/officeDocument/2006/relationships/image" Target="media/image10.emf"/><Relationship Id="rId35" Type="http://schemas.openxmlformats.org/officeDocument/2006/relationships/oleObject" Target="embeddings/oleObject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A0BA45-64E4-45AF-87C7-BF4E1DB338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23</Pages>
  <Words>7183</Words>
  <Characters>40945</Characters>
  <Application>Microsoft Office Word</Application>
  <DocSecurity>0</DocSecurity>
  <Lines>341</Lines>
  <Paragraphs>96</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48032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Han, Yun</cp:lastModifiedBy>
  <cp:revision>5</cp:revision>
  <cp:lastPrinted>2014-07-28T21:30:00Z</cp:lastPrinted>
  <dcterms:created xsi:type="dcterms:W3CDTF">2014-08-05T21:44:00Z</dcterms:created>
  <dcterms:modified xsi:type="dcterms:W3CDTF">2014-08-08T16:57:00Z</dcterms:modified>
</cp:coreProperties>
</file>